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CFB" w:rsidRPr="00A6162F" w:rsidRDefault="00D44CFB" w:rsidP="002D789D">
      <w:pPr>
        <w:rPr>
          <w:rFonts w:ascii="Century Gothic" w:hAnsi="Century Gothic"/>
          <w:b/>
          <w:color w:val="1F497D" w:themeColor="text2"/>
          <w:lang w:val="en-AU"/>
        </w:rPr>
      </w:pPr>
      <w:r w:rsidRPr="00A6162F">
        <w:rPr>
          <w:rFonts w:ascii="Century Gothic" w:hAnsi="Century Gothic"/>
          <w:b/>
          <w:color w:val="1F497D" w:themeColor="text2"/>
          <w:lang w:val="en-AU"/>
        </w:rPr>
        <w:t xml:space="preserve">Scancorp’s Outlook for </w:t>
      </w:r>
      <w:r w:rsidR="00A6162F" w:rsidRPr="00A6162F">
        <w:rPr>
          <w:rFonts w:ascii="Century Gothic" w:hAnsi="Century Gothic"/>
          <w:b/>
          <w:color w:val="1F497D" w:themeColor="text2"/>
          <w:lang w:val="en-AU"/>
        </w:rPr>
        <w:t xml:space="preserve">Australian SME </w:t>
      </w:r>
      <w:r w:rsidRPr="00A6162F">
        <w:rPr>
          <w:rFonts w:ascii="Century Gothic" w:hAnsi="Century Gothic"/>
          <w:b/>
          <w:color w:val="1F497D" w:themeColor="text2"/>
          <w:lang w:val="en-AU"/>
        </w:rPr>
        <w:t xml:space="preserve">Divestment, Mergers and Acquisitions </w:t>
      </w:r>
      <w:r w:rsidR="00E646FF">
        <w:rPr>
          <w:rFonts w:ascii="Century Gothic" w:hAnsi="Century Gothic"/>
          <w:b/>
          <w:color w:val="1F497D" w:themeColor="text2"/>
          <w:lang w:val="en-AU"/>
        </w:rPr>
        <w:t>in</w:t>
      </w:r>
      <w:r w:rsidRPr="00A6162F">
        <w:rPr>
          <w:rFonts w:ascii="Century Gothic" w:hAnsi="Century Gothic"/>
          <w:b/>
          <w:color w:val="1F497D" w:themeColor="text2"/>
          <w:lang w:val="en-AU"/>
        </w:rPr>
        <w:t xml:space="preserve"> 2015</w:t>
      </w:r>
    </w:p>
    <w:p w:rsidR="0047533F" w:rsidRDefault="0047533F" w:rsidP="002D789D">
      <w:pPr>
        <w:rPr>
          <w:rFonts w:ascii="Century Gothic" w:hAnsi="Century Gothic"/>
          <w:sz w:val="18"/>
          <w:szCs w:val="18"/>
          <w:lang w:val="en-AU"/>
        </w:rPr>
      </w:pPr>
      <w:r>
        <w:rPr>
          <w:rFonts w:ascii="Century Gothic" w:hAnsi="Century Gothic"/>
          <w:sz w:val="18"/>
          <w:szCs w:val="18"/>
          <w:lang w:val="en-AU"/>
        </w:rPr>
        <w:t>Scancorp is pleased to provide its outlook for small and medium business divestment, mergers and acquisitions for 2015. This outlook provides the following:</w:t>
      </w:r>
    </w:p>
    <w:p w:rsidR="00D44CFB" w:rsidRPr="0047533F" w:rsidRDefault="0047533F" w:rsidP="0047533F">
      <w:pPr>
        <w:pStyle w:val="ListParagraph"/>
        <w:numPr>
          <w:ilvl w:val="0"/>
          <w:numId w:val="14"/>
        </w:numPr>
        <w:rPr>
          <w:rFonts w:ascii="Century Gothic" w:hAnsi="Century Gothic"/>
          <w:sz w:val="18"/>
          <w:szCs w:val="18"/>
        </w:rPr>
      </w:pPr>
      <w:r w:rsidRPr="0047533F">
        <w:rPr>
          <w:rFonts w:ascii="Century Gothic" w:hAnsi="Century Gothic"/>
          <w:sz w:val="18"/>
          <w:szCs w:val="18"/>
        </w:rPr>
        <w:t>A recap of SME M&amp;A in 2014</w:t>
      </w:r>
      <w:r w:rsidR="00E646FF">
        <w:rPr>
          <w:rFonts w:ascii="Century Gothic" w:hAnsi="Century Gothic"/>
          <w:sz w:val="18"/>
          <w:szCs w:val="18"/>
        </w:rPr>
        <w:t>;</w:t>
      </w:r>
    </w:p>
    <w:p w:rsidR="0047533F" w:rsidRPr="0047533F" w:rsidRDefault="00822E70" w:rsidP="0047533F">
      <w:pPr>
        <w:pStyle w:val="ListParagraph"/>
        <w:numPr>
          <w:ilvl w:val="0"/>
          <w:numId w:val="14"/>
        </w:numPr>
        <w:rPr>
          <w:rFonts w:ascii="Century Gothic" w:hAnsi="Century Gothic"/>
          <w:sz w:val="18"/>
          <w:szCs w:val="18"/>
        </w:rPr>
      </w:pPr>
      <w:r>
        <w:rPr>
          <w:rFonts w:ascii="Century Gothic" w:hAnsi="Century Gothic"/>
          <w:sz w:val="18"/>
          <w:szCs w:val="18"/>
        </w:rPr>
        <w:t>E</w:t>
      </w:r>
      <w:r w:rsidR="0047533F" w:rsidRPr="0047533F">
        <w:rPr>
          <w:rFonts w:ascii="Century Gothic" w:hAnsi="Century Gothic"/>
          <w:sz w:val="18"/>
          <w:szCs w:val="18"/>
        </w:rPr>
        <w:t xml:space="preserve">merging </w:t>
      </w:r>
      <w:r>
        <w:rPr>
          <w:rFonts w:ascii="Century Gothic" w:hAnsi="Century Gothic"/>
          <w:sz w:val="18"/>
          <w:szCs w:val="18"/>
        </w:rPr>
        <w:t>issues for</w:t>
      </w:r>
      <w:r w:rsidR="0047533F" w:rsidRPr="0047533F">
        <w:rPr>
          <w:rFonts w:ascii="Century Gothic" w:hAnsi="Century Gothic"/>
          <w:sz w:val="18"/>
          <w:szCs w:val="18"/>
        </w:rPr>
        <w:t xml:space="preserve"> 2015</w:t>
      </w:r>
      <w:r w:rsidR="00E646FF">
        <w:rPr>
          <w:rFonts w:ascii="Century Gothic" w:hAnsi="Century Gothic"/>
          <w:sz w:val="18"/>
          <w:szCs w:val="18"/>
        </w:rPr>
        <w:t>;</w:t>
      </w:r>
    </w:p>
    <w:p w:rsidR="0047533F" w:rsidRPr="0047533F" w:rsidRDefault="0047533F" w:rsidP="0047533F">
      <w:pPr>
        <w:pStyle w:val="ListParagraph"/>
        <w:numPr>
          <w:ilvl w:val="0"/>
          <w:numId w:val="14"/>
        </w:numPr>
        <w:rPr>
          <w:rFonts w:ascii="Century Gothic" w:hAnsi="Century Gothic"/>
          <w:sz w:val="18"/>
          <w:szCs w:val="18"/>
        </w:rPr>
      </w:pPr>
      <w:r w:rsidRPr="0047533F">
        <w:rPr>
          <w:rFonts w:ascii="Century Gothic" w:hAnsi="Century Gothic"/>
          <w:sz w:val="18"/>
          <w:szCs w:val="18"/>
        </w:rPr>
        <w:t>Anticipated impact on SME M&amp;A in 2015</w:t>
      </w:r>
      <w:r w:rsidR="00E646FF">
        <w:rPr>
          <w:rFonts w:ascii="Century Gothic" w:hAnsi="Century Gothic"/>
          <w:sz w:val="18"/>
          <w:szCs w:val="18"/>
        </w:rPr>
        <w:t>;</w:t>
      </w:r>
      <w:r w:rsidRPr="0047533F">
        <w:rPr>
          <w:rFonts w:ascii="Century Gothic" w:hAnsi="Century Gothic"/>
          <w:sz w:val="18"/>
          <w:szCs w:val="18"/>
        </w:rPr>
        <w:t xml:space="preserve"> and</w:t>
      </w:r>
    </w:p>
    <w:p w:rsidR="00D44CFB" w:rsidRPr="0047533F" w:rsidRDefault="0047533F" w:rsidP="0047533F">
      <w:pPr>
        <w:pStyle w:val="ListParagraph"/>
        <w:numPr>
          <w:ilvl w:val="0"/>
          <w:numId w:val="14"/>
        </w:numPr>
        <w:rPr>
          <w:rFonts w:ascii="Century Gothic" w:hAnsi="Century Gothic"/>
          <w:sz w:val="18"/>
          <w:szCs w:val="18"/>
        </w:rPr>
      </w:pPr>
      <w:r w:rsidRPr="0047533F">
        <w:rPr>
          <w:rFonts w:ascii="Century Gothic" w:hAnsi="Century Gothic"/>
          <w:sz w:val="18"/>
          <w:szCs w:val="18"/>
        </w:rPr>
        <w:t>Recommendations to SME business owners and their advisers.</w:t>
      </w:r>
    </w:p>
    <w:p w:rsidR="00D44CFB" w:rsidRDefault="00D44CFB" w:rsidP="002D789D">
      <w:pPr>
        <w:rPr>
          <w:rFonts w:ascii="Century Gothic" w:hAnsi="Century Gothic"/>
          <w:sz w:val="18"/>
          <w:szCs w:val="18"/>
          <w:lang w:val="en-AU"/>
        </w:rPr>
      </w:pPr>
    </w:p>
    <w:p w:rsidR="00D44CFB" w:rsidRPr="0047533F" w:rsidRDefault="0047533F" w:rsidP="002D789D">
      <w:pPr>
        <w:rPr>
          <w:rFonts w:ascii="Century Gothic" w:hAnsi="Century Gothic"/>
          <w:b/>
          <w:color w:val="1F497D" w:themeColor="text2"/>
          <w:sz w:val="18"/>
          <w:szCs w:val="18"/>
          <w:lang w:val="en-AU"/>
        </w:rPr>
      </w:pPr>
      <w:r w:rsidRPr="0047533F">
        <w:rPr>
          <w:rFonts w:ascii="Century Gothic" w:hAnsi="Century Gothic"/>
          <w:b/>
          <w:color w:val="1F497D" w:themeColor="text2"/>
          <w:sz w:val="18"/>
          <w:szCs w:val="18"/>
          <w:lang w:val="en-AU"/>
        </w:rPr>
        <w:t>Recap of SME M&amp;A in 2014</w:t>
      </w:r>
    </w:p>
    <w:p w:rsidR="000D7DC5" w:rsidRDefault="00305A48" w:rsidP="002D789D">
      <w:pPr>
        <w:rPr>
          <w:rFonts w:ascii="Century Gothic" w:hAnsi="Century Gothic"/>
          <w:sz w:val="18"/>
          <w:szCs w:val="18"/>
          <w:lang w:val="en-AU"/>
        </w:rPr>
      </w:pPr>
      <w:r>
        <w:rPr>
          <w:rFonts w:ascii="Century Gothic" w:hAnsi="Century Gothic"/>
          <w:sz w:val="18"/>
          <w:szCs w:val="18"/>
          <w:lang w:val="en-AU"/>
        </w:rPr>
        <w:t xml:space="preserve">At a corporate level, </w:t>
      </w:r>
      <w:r w:rsidR="000D7DC5">
        <w:rPr>
          <w:rFonts w:ascii="Century Gothic" w:hAnsi="Century Gothic"/>
          <w:sz w:val="18"/>
          <w:szCs w:val="18"/>
          <w:lang w:val="en-AU"/>
        </w:rPr>
        <w:t xml:space="preserve">M&amp;A activity in Australia grew by 20% in </w:t>
      </w:r>
      <w:r w:rsidR="00A401F1">
        <w:rPr>
          <w:rFonts w:ascii="Century Gothic" w:hAnsi="Century Gothic"/>
          <w:sz w:val="18"/>
          <w:szCs w:val="18"/>
          <w:lang w:val="en-AU"/>
        </w:rPr>
        <w:t xml:space="preserve">2014 </w:t>
      </w:r>
      <w:r w:rsidR="000D7DC5">
        <w:rPr>
          <w:rFonts w:ascii="Century Gothic" w:hAnsi="Century Gothic"/>
          <w:sz w:val="18"/>
          <w:szCs w:val="18"/>
          <w:lang w:val="en-AU"/>
        </w:rPr>
        <w:t xml:space="preserve">reaching US$120B. </w:t>
      </w:r>
      <w:r>
        <w:rPr>
          <w:rFonts w:ascii="Century Gothic" w:hAnsi="Century Gothic"/>
          <w:sz w:val="18"/>
          <w:szCs w:val="18"/>
          <w:lang w:val="en-AU"/>
        </w:rPr>
        <w:t xml:space="preserve">Divestment and M&amp;A activity within the SME sector was also </w:t>
      </w:r>
      <w:r w:rsidR="000B4D3A">
        <w:rPr>
          <w:rFonts w:ascii="Century Gothic" w:hAnsi="Century Gothic"/>
          <w:sz w:val="18"/>
          <w:szCs w:val="18"/>
          <w:lang w:val="en-AU"/>
        </w:rPr>
        <w:t xml:space="preserve">solid. </w:t>
      </w:r>
    </w:p>
    <w:p w:rsidR="000B4D3A" w:rsidRDefault="000B4D3A" w:rsidP="002D789D">
      <w:pPr>
        <w:rPr>
          <w:rFonts w:ascii="Century Gothic" w:hAnsi="Century Gothic"/>
          <w:sz w:val="18"/>
          <w:szCs w:val="18"/>
          <w:lang w:val="en-AU"/>
        </w:rPr>
      </w:pPr>
    </w:p>
    <w:p w:rsidR="000B4D3A" w:rsidRDefault="00E646FF" w:rsidP="002D789D">
      <w:pPr>
        <w:rPr>
          <w:rFonts w:ascii="Century Gothic" w:hAnsi="Century Gothic"/>
          <w:sz w:val="18"/>
          <w:szCs w:val="18"/>
          <w:lang w:val="en-AU"/>
        </w:rPr>
      </w:pPr>
      <w:r>
        <w:rPr>
          <w:rFonts w:ascii="Century Gothic" w:hAnsi="Century Gothic"/>
          <w:sz w:val="18"/>
          <w:szCs w:val="18"/>
          <w:lang w:val="en-AU"/>
        </w:rPr>
        <w:t>At the SME level, c</w:t>
      </w:r>
      <w:r w:rsidR="000B4D3A">
        <w:rPr>
          <w:rFonts w:ascii="Century Gothic" w:hAnsi="Century Gothic"/>
          <w:sz w:val="18"/>
          <w:szCs w:val="18"/>
          <w:lang w:val="en-AU"/>
        </w:rPr>
        <w:t xml:space="preserve">ompetition amongst business owners to sell their business is increasing significantly with over 40,000 SMEs for sale </w:t>
      </w:r>
      <w:r>
        <w:rPr>
          <w:rFonts w:ascii="Century Gothic" w:hAnsi="Century Gothic"/>
          <w:sz w:val="18"/>
          <w:szCs w:val="18"/>
          <w:lang w:val="en-AU"/>
        </w:rPr>
        <w:t>late</w:t>
      </w:r>
      <w:r w:rsidR="000B4D3A">
        <w:rPr>
          <w:rFonts w:ascii="Century Gothic" w:hAnsi="Century Gothic"/>
          <w:sz w:val="18"/>
          <w:szCs w:val="18"/>
          <w:lang w:val="en-AU"/>
        </w:rPr>
        <w:t xml:space="preserve"> 2014.</w:t>
      </w:r>
    </w:p>
    <w:p w:rsidR="000D7DC5" w:rsidRDefault="000D7DC5" w:rsidP="002D789D">
      <w:pPr>
        <w:rPr>
          <w:rFonts w:ascii="Century Gothic" w:hAnsi="Century Gothic"/>
          <w:sz w:val="18"/>
          <w:szCs w:val="18"/>
          <w:lang w:val="en-AU"/>
        </w:rPr>
      </w:pPr>
    </w:p>
    <w:p w:rsidR="000B4D3A" w:rsidRDefault="00E646FF" w:rsidP="002D789D">
      <w:pPr>
        <w:rPr>
          <w:rFonts w:ascii="Century Gothic" w:hAnsi="Century Gothic"/>
          <w:sz w:val="18"/>
          <w:szCs w:val="18"/>
          <w:lang w:val="en-AU"/>
        </w:rPr>
      </w:pPr>
      <w:r>
        <w:rPr>
          <w:rFonts w:ascii="Century Gothic" w:hAnsi="Century Gothic"/>
          <w:sz w:val="18"/>
          <w:szCs w:val="18"/>
          <w:lang w:val="en-AU"/>
        </w:rPr>
        <w:t xml:space="preserve">Scancorp noted several industries </w:t>
      </w:r>
      <w:r w:rsidR="00107AEC">
        <w:rPr>
          <w:rFonts w:ascii="Century Gothic" w:hAnsi="Century Gothic"/>
          <w:sz w:val="18"/>
          <w:szCs w:val="18"/>
          <w:lang w:val="en-AU"/>
        </w:rPr>
        <w:t>in particular demand in 2014</w:t>
      </w:r>
      <w:r>
        <w:rPr>
          <w:rFonts w:ascii="Century Gothic" w:hAnsi="Century Gothic"/>
          <w:sz w:val="18"/>
          <w:szCs w:val="18"/>
          <w:lang w:val="en-AU"/>
        </w:rPr>
        <w:t>. Examples</w:t>
      </w:r>
      <w:r w:rsidR="00107AEC">
        <w:rPr>
          <w:rFonts w:ascii="Century Gothic" w:hAnsi="Century Gothic"/>
          <w:sz w:val="18"/>
          <w:szCs w:val="18"/>
          <w:lang w:val="en-AU"/>
        </w:rPr>
        <w:t xml:space="preserve"> include:</w:t>
      </w:r>
    </w:p>
    <w:tbl>
      <w:tblPr>
        <w:tblStyle w:val="PlainTable11"/>
        <w:tblW w:w="0" w:type="auto"/>
        <w:shd w:val="clear" w:color="auto" w:fill="DBE5F1" w:themeFill="accent1" w:themeFillTint="33"/>
        <w:tblLook w:val="04A0" w:firstRow="1" w:lastRow="0" w:firstColumn="1" w:lastColumn="0" w:noHBand="0" w:noVBand="1"/>
      </w:tblPr>
      <w:tblGrid>
        <w:gridCol w:w="2418"/>
        <w:gridCol w:w="5061"/>
        <w:gridCol w:w="2999"/>
      </w:tblGrid>
      <w:tr w:rsidR="0032102B" w:rsidTr="00535E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8" w:type="dxa"/>
            <w:shd w:val="clear" w:color="auto" w:fill="DBE5F1" w:themeFill="accent1" w:themeFillTint="33"/>
          </w:tcPr>
          <w:p w:rsidR="0032102B" w:rsidRDefault="0032102B" w:rsidP="002D789D">
            <w:pPr>
              <w:rPr>
                <w:rFonts w:ascii="Century Gothic" w:hAnsi="Century Gothic"/>
                <w:sz w:val="18"/>
                <w:szCs w:val="18"/>
                <w:lang w:val="en-AU"/>
              </w:rPr>
            </w:pPr>
            <w:r>
              <w:rPr>
                <w:rFonts w:ascii="Century Gothic" w:hAnsi="Century Gothic"/>
                <w:sz w:val="18"/>
                <w:szCs w:val="18"/>
                <w:lang w:val="en-AU"/>
              </w:rPr>
              <w:t xml:space="preserve">Industry </w:t>
            </w:r>
          </w:p>
        </w:tc>
        <w:tc>
          <w:tcPr>
            <w:tcW w:w="5061" w:type="dxa"/>
            <w:shd w:val="clear" w:color="auto" w:fill="DBE5F1" w:themeFill="accent1" w:themeFillTint="33"/>
          </w:tcPr>
          <w:p w:rsidR="0032102B" w:rsidRDefault="0032102B" w:rsidP="002D789D">
            <w:pPr>
              <w:cnfStyle w:val="100000000000" w:firstRow="1" w:lastRow="0" w:firstColumn="0" w:lastColumn="0" w:oddVBand="0" w:evenVBand="0" w:oddHBand="0" w:evenHBand="0" w:firstRowFirstColumn="0" w:firstRowLastColumn="0" w:lastRowFirstColumn="0" w:lastRowLastColumn="0"/>
              <w:rPr>
                <w:rFonts w:ascii="Century Gothic" w:hAnsi="Century Gothic"/>
                <w:sz w:val="18"/>
                <w:szCs w:val="18"/>
                <w:lang w:val="en-AU"/>
              </w:rPr>
            </w:pPr>
            <w:r>
              <w:rPr>
                <w:rFonts w:ascii="Century Gothic" w:hAnsi="Century Gothic"/>
                <w:sz w:val="18"/>
                <w:szCs w:val="18"/>
                <w:lang w:val="en-AU"/>
              </w:rPr>
              <w:t>Example of activity in 2014</w:t>
            </w:r>
          </w:p>
        </w:tc>
        <w:tc>
          <w:tcPr>
            <w:tcW w:w="2999" w:type="dxa"/>
            <w:shd w:val="clear" w:color="auto" w:fill="DBE5F1" w:themeFill="accent1" w:themeFillTint="33"/>
          </w:tcPr>
          <w:p w:rsidR="0032102B" w:rsidRDefault="0032102B" w:rsidP="002D789D">
            <w:pPr>
              <w:cnfStyle w:val="100000000000" w:firstRow="1" w:lastRow="0" w:firstColumn="0" w:lastColumn="0" w:oddVBand="0" w:evenVBand="0" w:oddHBand="0" w:evenHBand="0" w:firstRowFirstColumn="0" w:firstRowLastColumn="0" w:lastRowFirstColumn="0" w:lastRowLastColumn="0"/>
              <w:rPr>
                <w:rFonts w:ascii="Century Gothic" w:hAnsi="Century Gothic"/>
                <w:sz w:val="18"/>
                <w:szCs w:val="18"/>
                <w:lang w:val="en-AU"/>
              </w:rPr>
            </w:pPr>
            <w:r>
              <w:rPr>
                <w:rFonts w:ascii="Century Gothic" w:hAnsi="Century Gothic"/>
                <w:sz w:val="18"/>
                <w:szCs w:val="18"/>
                <w:lang w:val="en-AU"/>
              </w:rPr>
              <w:t>Typical Acquirers</w:t>
            </w:r>
          </w:p>
        </w:tc>
      </w:tr>
      <w:tr w:rsidR="0032102B" w:rsidTr="00535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8" w:type="dxa"/>
            <w:shd w:val="clear" w:color="auto" w:fill="auto"/>
          </w:tcPr>
          <w:p w:rsidR="0032102B" w:rsidRPr="00F65297" w:rsidRDefault="0032102B" w:rsidP="00F65297">
            <w:pPr>
              <w:rPr>
                <w:rFonts w:ascii="Century Gothic" w:hAnsi="Century Gothic"/>
                <w:b w:val="0"/>
                <w:sz w:val="18"/>
                <w:szCs w:val="18"/>
              </w:rPr>
            </w:pPr>
            <w:r w:rsidRPr="00F65297">
              <w:rPr>
                <w:rFonts w:ascii="Century Gothic" w:hAnsi="Century Gothic"/>
                <w:b w:val="0"/>
                <w:sz w:val="18"/>
                <w:szCs w:val="18"/>
              </w:rPr>
              <w:t>Child care</w:t>
            </w:r>
            <w:r w:rsidRPr="007668E0">
              <w:rPr>
                <w:rFonts w:ascii="Century Gothic" w:hAnsi="Century Gothic"/>
                <w:b w:val="0"/>
                <w:sz w:val="18"/>
                <w:szCs w:val="18"/>
                <w:lang w:val="en-AU"/>
              </w:rPr>
              <w:t xml:space="preserve"> centres</w:t>
            </w:r>
            <w:r w:rsidRPr="00F65297">
              <w:rPr>
                <w:rFonts w:ascii="Century Gothic" w:hAnsi="Century Gothic"/>
                <w:b w:val="0"/>
                <w:sz w:val="18"/>
                <w:szCs w:val="18"/>
              </w:rPr>
              <w:t xml:space="preserve"> (business and freehold)</w:t>
            </w:r>
          </w:p>
        </w:tc>
        <w:tc>
          <w:tcPr>
            <w:tcW w:w="5061" w:type="dxa"/>
            <w:shd w:val="clear" w:color="auto" w:fill="auto"/>
          </w:tcPr>
          <w:p w:rsidR="0032102B" w:rsidRPr="00C55691" w:rsidRDefault="0032102B" w:rsidP="00C55691">
            <w:pPr>
              <w:pStyle w:val="ListParagraph"/>
              <w:numPr>
                <w:ilvl w:val="0"/>
                <w:numId w:val="16"/>
              </w:numP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sidRPr="00C55691">
              <w:rPr>
                <w:rFonts w:ascii="Century Gothic" w:hAnsi="Century Gothic"/>
                <w:sz w:val="18"/>
                <w:szCs w:val="18"/>
              </w:rPr>
              <w:t xml:space="preserve">Valuation increased with centres sold at 5 to </w:t>
            </w:r>
            <w:r>
              <w:rPr>
                <w:rFonts w:ascii="Century Gothic" w:hAnsi="Century Gothic"/>
                <w:sz w:val="18"/>
                <w:szCs w:val="18"/>
              </w:rPr>
              <w:t>6</w:t>
            </w:r>
            <w:r w:rsidRPr="00C55691">
              <w:rPr>
                <w:rFonts w:ascii="Century Gothic" w:hAnsi="Century Gothic"/>
                <w:sz w:val="18"/>
                <w:szCs w:val="18"/>
              </w:rPr>
              <w:t xml:space="preserve"> times EBITDA (subject to location and occupancy). </w:t>
            </w:r>
          </w:p>
          <w:p w:rsidR="0032102B" w:rsidRPr="00FE792F" w:rsidRDefault="0032102B" w:rsidP="0040156F">
            <w:pPr>
              <w:pStyle w:val="ListParagraph"/>
              <w:numPr>
                <w:ilvl w:val="0"/>
                <w:numId w:val="16"/>
              </w:numP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Pr>
                <w:rFonts w:ascii="Century Gothic" w:hAnsi="Century Gothic"/>
                <w:sz w:val="18"/>
                <w:szCs w:val="18"/>
                <w:lang w:val="en-US"/>
              </w:rPr>
              <w:t>F</w:t>
            </w:r>
            <w:r w:rsidRPr="00C55691">
              <w:rPr>
                <w:rFonts w:ascii="Century Gothic" w:hAnsi="Century Gothic"/>
                <w:sz w:val="18"/>
                <w:szCs w:val="18"/>
                <w:lang w:val="en-US"/>
              </w:rPr>
              <w:t>reehold sales a</w:t>
            </w:r>
            <w:r>
              <w:rPr>
                <w:rFonts w:ascii="Century Gothic" w:hAnsi="Century Gothic"/>
                <w:sz w:val="18"/>
                <w:szCs w:val="18"/>
                <w:lang w:val="en-US"/>
              </w:rPr>
              <w:t>chieved</w:t>
            </w:r>
            <w:r w:rsidRPr="00C55691">
              <w:rPr>
                <w:rFonts w:ascii="Century Gothic" w:hAnsi="Century Gothic"/>
                <w:sz w:val="18"/>
                <w:szCs w:val="18"/>
                <w:lang w:val="en-US"/>
              </w:rPr>
              <w:t xml:space="preserve"> 7</w:t>
            </w:r>
            <w:r w:rsidR="0040156F">
              <w:rPr>
                <w:rFonts w:ascii="Century Gothic" w:hAnsi="Century Gothic"/>
                <w:sz w:val="18"/>
                <w:szCs w:val="18"/>
                <w:lang w:val="en-US"/>
              </w:rPr>
              <w:t>% to 8</w:t>
            </w:r>
            <w:r>
              <w:rPr>
                <w:rFonts w:ascii="Century Gothic" w:hAnsi="Century Gothic"/>
                <w:sz w:val="18"/>
                <w:szCs w:val="18"/>
                <w:lang w:val="en-US"/>
              </w:rPr>
              <w:t xml:space="preserve">% </w:t>
            </w:r>
            <w:r w:rsidRPr="00C55691">
              <w:rPr>
                <w:rFonts w:ascii="Century Gothic" w:hAnsi="Century Gothic"/>
                <w:sz w:val="18"/>
                <w:szCs w:val="18"/>
                <w:lang w:val="en-US"/>
              </w:rPr>
              <w:t>yield</w:t>
            </w:r>
            <w:r>
              <w:rPr>
                <w:rFonts w:ascii="Century Gothic" w:hAnsi="Century Gothic"/>
                <w:sz w:val="18"/>
                <w:szCs w:val="18"/>
                <w:lang w:val="en-US"/>
              </w:rPr>
              <w:t>s</w:t>
            </w:r>
            <w:r w:rsidRPr="00C55691">
              <w:rPr>
                <w:rFonts w:ascii="Century Gothic" w:hAnsi="Century Gothic"/>
                <w:sz w:val="18"/>
                <w:szCs w:val="18"/>
                <w:lang w:val="en-US"/>
              </w:rPr>
              <w:t xml:space="preserve"> where the tenant </w:t>
            </w:r>
            <w:r w:rsidR="0040156F">
              <w:rPr>
                <w:rFonts w:ascii="Century Gothic" w:hAnsi="Century Gothic"/>
                <w:sz w:val="18"/>
                <w:szCs w:val="18"/>
                <w:lang w:val="en-US"/>
              </w:rPr>
              <w:t>wa</w:t>
            </w:r>
            <w:r w:rsidRPr="00C55691">
              <w:rPr>
                <w:rFonts w:ascii="Century Gothic" w:hAnsi="Century Gothic"/>
                <w:sz w:val="18"/>
                <w:szCs w:val="18"/>
                <w:lang w:val="en-US"/>
              </w:rPr>
              <w:t>s listed or a large public company.</w:t>
            </w:r>
          </w:p>
        </w:tc>
        <w:tc>
          <w:tcPr>
            <w:tcW w:w="2999" w:type="dxa"/>
            <w:shd w:val="clear" w:color="auto" w:fill="auto"/>
          </w:tcPr>
          <w:p w:rsidR="0032102B" w:rsidRPr="0032102B" w:rsidRDefault="0032102B" w:rsidP="0040156F">
            <w:pP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sidRPr="0032102B">
              <w:rPr>
                <w:rFonts w:ascii="Century Gothic" w:hAnsi="Century Gothic"/>
                <w:sz w:val="18"/>
                <w:szCs w:val="18"/>
              </w:rPr>
              <w:t>Large listed or public companies</w:t>
            </w:r>
            <w:r w:rsidR="0040156F">
              <w:rPr>
                <w:rFonts w:ascii="Century Gothic" w:hAnsi="Century Gothic"/>
                <w:sz w:val="18"/>
                <w:szCs w:val="18"/>
              </w:rPr>
              <w:t>. D</w:t>
            </w:r>
            <w:r w:rsidR="00137BA9">
              <w:rPr>
                <w:rFonts w:ascii="Century Gothic" w:hAnsi="Century Gothic"/>
                <w:sz w:val="18"/>
                <w:szCs w:val="18"/>
              </w:rPr>
              <w:t xml:space="preserve">omestic </w:t>
            </w:r>
            <w:r w:rsidRPr="0032102B">
              <w:rPr>
                <w:rFonts w:ascii="Century Gothic" w:hAnsi="Century Gothic"/>
                <w:sz w:val="18"/>
                <w:szCs w:val="18"/>
              </w:rPr>
              <w:t>(roll-up)</w:t>
            </w:r>
          </w:p>
        </w:tc>
      </w:tr>
      <w:tr w:rsidR="0032102B" w:rsidTr="00535E34">
        <w:tc>
          <w:tcPr>
            <w:cnfStyle w:val="001000000000" w:firstRow="0" w:lastRow="0" w:firstColumn="1" w:lastColumn="0" w:oddVBand="0" w:evenVBand="0" w:oddHBand="0" w:evenHBand="0" w:firstRowFirstColumn="0" w:firstRowLastColumn="0" w:lastRowFirstColumn="0" w:lastRowLastColumn="0"/>
            <w:tcW w:w="2418" w:type="dxa"/>
            <w:shd w:val="clear" w:color="auto" w:fill="auto"/>
          </w:tcPr>
          <w:p w:rsidR="0032102B" w:rsidRPr="00F65297" w:rsidRDefault="0032102B" w:rsidP="00062E97">
            <w:pPr>
              <w:rPr>
                <w:rFonts w:ascii="Century Gothic" w:hAnsi="Century Gothic"/>
                <w:b w:val="0"/>
                <w:sz w:val="18"/>
                <w:szCs w:val="18"/>
              </w:rPr>
            </w:pPr>
            <w:r w:rsidRPr="00F65297">
              <w:rPr>
                <w:rFonts w:ascii="Century Gothic" w:hAnsi="Century Gothic"/>
                <w:b w:val="0"/>
                <w:sz w:val="18"/>
                <w:szCs w:val="18"/>
              </w:rPr>
              <w:t>General practice medical</w:t>
            </w:r>
            <w:r w:rsidRPr="007668E0">
              <w:rPr>
                <w:rFonts w:ascii="Century Gothic" w:hAnsi="Century Gothic"/>
                <w:b w:val="0"/>
                <w:sz w:val="18"/>
                <w:szCs w:val="18"/>
                <w:lang w:val="en-AU"/>
              </w:rPr>
              <w:t xml:space="preserve"> centres</w:t>
            </w:r>
            <w:r>
              <w:rPr>
                <w:rFonts w:ascii="Century Gothic" w:hAnsi="Century Gothic"/>
                <w:b w:val="0"/>
                <w:sz w:val="18"/>
                <w:szCs w:val="18"/>
              </w:rPr>
              <w:t xml:space="preserve">; allied health; dental and </w:t>
            </w:r>
            <w:r w:rsidR="00062E97">
              <w:rPr>
                <w:rFonts w:ascii="Century Gothic" w:hAnsi="Century Gothic"/>
                <w:b w:val="0"/>
                <w:sz w:val="18"/>
                <w:szCs w:val="18"/>
              </w:rPr>
              <w:t>veterinary</w:t>
            </w:r>
            <w:r>
              <w:rPr>
                <w:rFonts w:ascii="Century Gothic" w:hAnsi="Century Gothic"/>
                <w:b w:val="0"/>
                <w:sz w:val="18"/>
                <w:szCs w:val="18"/>
              </w:rPr>
              <w:t>;</w:t>
            </w:r>
            <w:r w:rsidRPr="00F65297">
              <w:rPr>
                <w:rFonts w:ascii="Century Gothic" w:hAnsi="Century Gothic"/>
                <w:b w:val="0"/>
                <w:sz w:val="18"/>
                <w:szCs w:val="18"/>
              </w:rPr>
              <w:t xml:space="preserve"> (business and freehold)</w:t>
            </w:r>
          </w:p>
        </w:tc>
        <w:tc>
          <w:tcPr>
            <w:tcW w:w="5061" w:type="dxa"/>
            <w:shd w:val="clear" w:color="auto" w:fill="auto"/>
          </w:tcPr>
          <w:p w:rsidR="0032102B" w:rsidRPr="00C55691" w:rsidRDefault="0032102B" w:rsidP="00C55691">
            <w:pPr>
              <w:numPr>
                <w:ilvl w:val="0"/>
                <w:numId w:val="16"/>
              </w:numP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AU"/>
              </w:rPr>
            </w:pPr>
            <w:r w:rsidRPr="00C55691">
              <w:rPr>
                <w:rFonts w:ascii="Century Gothic" w:hAnsi="Century Gothic"/>
                <w:sz w:val="18"/>
                <w:szCs w:val="18"/>
                <w:lang w:val="en-AU"/>
              </w:rPr>
              <w:t xml:space="preserve">Over 70 genuine enquiries were </w:t>
            </w:r>
            <w:r w:rsidR="0040156F">
              <w:rPr>
                <w:rFonts w:ascii="Century Gothic" w:hAnsi="Century Gothic"/>
                <w:sz w:val="18"/>
                <w:szCs w:val="18"/>
                <w:lang w:val="en-AU"/>
              </w:rPr>
              <w:t xml:space="preserve">received </w:t>
            </w:r>
            <w:r w:rsidRPr="00C55691">
              <w:rPr>
                <w:rFonts w:ascii="Century Gothic" w:hAnsi="Century Gothic"/>
                <w:sz w:val="18"/>
                <w:szCs w:val="18"/>
                <w:lang w:val="en-AU"/>
              </w:rPr>
              <w:t xml:space="preserve">for a typical medical centre (business only). </w:t>
            </w:r>
          </w:p>
          <w:p w:rsidR="0032102B" w:rsidRPr="00FE792F" w:rsidRDefault="0032102B" w:rsidP="00C55691">
            <w:pPr>
              <w:numPr>
                <w:ilvl w:val="0"/>
                <w:numId w:val="16"/>
              </w:numP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AU"/>
              </w:rPr>
            </w:pPr>
            <w:r w:rsidRPr="00C55691">
              <w:rPr>
                <w:rFonts w:ascii="Century Gothic" w:hAnsi="Century Gothic"/>
                <w:sz w:val="18"/>
                <w:szCs w:val="18"/>
              </w:rPr>
              <w:t>Businesses achieved valuations at 4 times EBITDA (net of working owners’ income).</w:t>
            </w:r>
          </w:p>
        </w:tc>
        <w:tc>
          <w:tcPr>
            <w:tcW w:w="2999" w:type="dxa"/>
            <w:shd w:val="clear" w:color="auto" w:fill="auto"/>
          </w:tcPr>
          <w:p w:rsidR="0032102B" w:rsidRPr="00C55691" w:rsidRDefault="00137BA9" w:rsidP="00EC276E">
            <w:pP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AU"/>
              </w:rPr>
            </w:pPr>
            <w:r>
              <w:rPr>
                <w:rFonts w:ascii="Century Gothic" w:hAnsi="Century Gothic"/>
                <w:sz w:val="18"/>
                <w:szCs w:val="18"/>
                <w:lang w:val="en-AU"/>
              </w:rPr>
              <w:t xml:space="preserve">Individuals </w:t>
            </w:r>
            <w:r w:rsidR="005D39DC">
              <w:rPr>
                <w:rFonts w:ascii="Century Gothic" w:hAnsi="Century Gothic"/>
                <w:sz w:val="18"/>
                <w:szCs w:val="18"/>
                <w:lang w:val="en-AU"/>
              </w:rPr>
              <w:t>(as investors or working owners)</w:t>
            </w:r>
            <w:r w:rsidR="00EC276E">
              <w:rPr>
                <w:rFonts w:ascii="Century Gothic" w:hAnsi="Century Gothic"/>
                <w:sz w:val="18"/>
                <w:szCs w:val="18"/>
                <w:lang w:val="en-AU"/>
              </w:rPr>
              <w:t>, and practice aggregators</w:t>
            </w:r>
            <w:r w:rsidR="0040156F">
              <w:rPr>
                <w:rFonts w:ascii="Century Gothic" w:hAnsi="Century Gothic"/>
                <w:sz w:val="18"/>
                <w:szCs w:val="18"/>
                <w:lang w:val="en-AU"/>
              </w:rPr>
              <w:t>. D</w:t>
            </w:r>
            <w:r>
              <w:rPr>
                <w:rFonts w:ascii="Century Gothic" w:hAnsi="Century Gothic"/>
                <w:sz w:val="18"/>
                <w:szCs w:val="18"/>
                <w:lang w:val="en-AU"/>
              </w:rPr>
              <w:t>omestic and international</w:t>
            </w:r>
            <w:r w:rsidR="00F47D42">
              <w:rPr>
                <w:rFonts w:ascii="Century Gothic" w:hAnsi="Century Gothic"/>
                <w:sz w:val="18"/>
                <w:szCs w:val="18"/>
                <w:lang w:val="en-AU"/>
              </w:rPr>
              <w:t xml:space="preserve">. </w:t>
            </w:r>
          </w:p>
        </w:tc>
      </w:tr>
      <w:tr w:rsidR="00062E97" w:rsidTr="00535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8" w:type="dxa"/>
            <w:shd w:val="clear" w:color="auto" w:fill="auto"/>
          </w:tcPr>
          <w:p w:rsidR="00062E97" w:rsidRPr="00F65297" w:rsidRDefault="00062E97" w:rsidP="0032102B">
            <w:pPr>
              <w:rPr>
                <w:rFonts w:ascii="Century Gothic" w:hAnsi="Century Gothic"/>
                <w:b w:val="0"/>
                <w:bCs w:val="0"/>
                <w:sz w:val="18"/>
                <w:szCs w:val="18"/>
              </w:rPr>
            </w:pPr>
            <w:r>
              <w:rPr>
                <w:rFonts w:ascii="Century Gothic" w:hAnsi="Century Gothic"/>
                <w:b w:val="0"/>
                <w:bCs w:val="0"/>
                <w:sz w:val="18"/>
                <w:szCs w:val="18"/>
              </w:rPr>
              <w:t>Coffee shops and small restaurants</w:t>
            </w:r>
          </w:p>
        </w:tc>
        <w:tc>
          <w:tcPr>
            <w:tcW w:w="5061" w:type="dxa"/>
            <w:shd w:val="clear" w:color="auto" w:fill="auto"/>
          </w:tcPr>
          <w:p w:rsidR="00062E97" w:rsidRDefault="0040156F" w:rsidP="00C55691">
            <w:pPr>
              <w:numPr>
                <w:ilvl w:val="0"/>
                <w:numId w:val="16"/>
              </w:numP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AU"/>
              </w:rPr>
            </w:pPr>
            <w:r>
              <w:rPr>
                <w:rFonts w:ascii="Century Gothic" w:hAnsi="Century Gothic"/>
                <w:sz w:val="18"/>
                <w:szCs w:val="18"/>
                <w:lang w:val="en-AU"/>
              </w:rPr>
              <w:t xml:space="preserve">Scancorp sold </w:t>
            </w:r>
            <w:r w:rsidR="0063305C">
              <w:rPr>
                <w:rFonts w:ascii="Century Gothic" w:hAnsi="Century Gothic"/>
                <w:sz w:val="18"/>
                <w:szCs w:val="18"/>
                <w:lang w:val="en-AU"/>
              </w:rPr>
              <w:t xml:space="preserve">8 coffee shops </w:t>
            </w:r>
            <w:r>
              <w:rPr>
                <w:rFonts w:ascii="Century Gothic" w:hAnsi="Century Gothic"/>
                <w:sz w:val="18"/>
                <w:szCs w:val="18"/>
                <w:lang w:val="en-AU"/>
              </w:rPr>
              <w:t>in</w:t>
            </w:r>
            <w:r w:rsidR="0063305C">
              <w:rPr>
                <w:rFonts w:ascii="Century Gothic" w:hAnsi="Century Gothic"/>
                <w:sz w:val="18"/>
                <w:szCs w:val="18"/>
                <w:lang w:val="en-AU"/>
              </w:rPr>
              <w:t xml:space="preserve"> the past 6 months</w:t>
            </w:r>
          </w:p>
          <w:p w:rsidR="0063305C" w:rsidRPr="00C55691" w:rsidRDefault="00B45262" w:rsidP="00C55691">
            <w:pPr>
              <w:numPr>
                <w:ilvl w:val="0"/>
                <w:numId w:val="16"/>
              </w:numP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AU"/>
              </w:rPr>
            </w:pPr>
            <w:r>
              <w:rPr>
                <w:rFonts w:ascii="Century Gothic" w:hAnsi="Century Gothic"/>
                <w:sz w:val="18"/>
                <w:szCs w:val="18"/>
                <w:lang w:val="en-AU"/>
              </w:rPr>
              <w:t>Typical sales valuations range 25% to 40% ROIC</w:t>
            </w:r>
          </w:p>
        </w:tc>
        <w:tc>
          <w:tcPr>
            <w:tcW w:w="2999" w:type="dxa"/>
            <w:shd w:val="clear" w:color="auto" w:fill="auto"/>
          </w:tcPr>
          <w:p w:rsidR="00062E97" w:rsidRDefault="00E15694" w:rsidP="00137BA9">
            <w:pP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AU"/>
              </w:rPr>
            </w:pPr>
            <w:r>
              <w:rPr>
                <w:rFonts w:ascii="Century Gothic" w:hAnsi="Century Gothic"/>
                <w:sz w:val="18"/>
                <w:szCs w:val="18"/>
                <w:lang w:val="en-AU"/>
              </w:rPr>
              <w:t>Individuals and syndicates (investors and working owners)</w:t>
            </w:r>
            <w:r w:rsidR="0040156F">
              <w:rPr>
                <w:rFonts w:ascii="Century Gothic" w:hAnsi="Century Gothic"/>
                <w:sz w:val="18"/>
                <w:szCs w:val="18"/>
                <w:lang w:val="en-AU"/>
              </w:rPr>
              <w:t>. Domestic</w:t>
            </w:r>
          </w:p>
        </w:tc>
      </w:tr>
      <w:tr w:rsidR="0032102B" w:rsidTr="00535E34">
        <w:tc>
          <w:tcPr>
            <w:cnfStyle w:val="001000000000" w:firstRow="0" w:lastRow="0" w:firstColumn="1" w:lastColumn="0" w:oddVBand="0" w:evenVBand="0" w:oddHBand="0" w:evenHBand="0" w:firstRowFirstColumn="0" w:firstRowLastColumn="0" w:lastRowFirstColumn="0" w:lastRowLastColumn="0"/>
            <w:tcW w:w="2418" w:type="dxa"/>
            <w:shd w:val="clear" w:color="auto" w:fill="auto"/>
          </w:tcPr>
          <w:p w:rsidR="0032102B" w:rsidRPr="00F65297" w:rsidRDefault="0032102B" w:rsidP="00962AAB">
            <w:pPr>
              <w:rPr>
                <w:rFonts w:ascii="Century Gothic" w:hAnsi="Century Gothic"/>
                <w:b w:val="0"/>
                <w:sz w:val="18"/>
                <w:szCs w:val="18"/>
              </w:rPr>
            </w:pPr>
            <w:r w:rsidRPr="00F65297">
              <w:rPr>
                <w:rFonts w:ascii="Century Gothic" w:hAnsi="Century Gothic"/>
                <w:b w:val="0"/>
                <w:sz w:val="18"/>
                <w:szCs w:val="18"/>
              </w:rPr>
              <w:t>Technology businesses (particularly with differentiated Intellectual Property)</w:t>
            </w:r>
          </w:p>
        </w:tc>
        <w:tc>
          <w:tcPr>
            <w:tcW w:w="5061" w:type="dxa"/>
            <w:shd w:val="clear" w:color="auto" w:fill="auto"/>
          </w:tcPr>
          <w:p w:rsidR="000C310D" w:rsidRPr="000C310D" w:rsidRDefault="000C310D" w:rsidP="000C310D">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sidRPr="000C310D">
              <w:rPr>
                <w:rFonts w:ascii="Century Gothic" w:hAnsi="Century Gothic"/>
                <w:sz w:val="18"/>
                <w:szCs w:val="18"/>
              </w:rPr>
              <w:t>Substantial demand for technology businesses.</w:t>
            </w:r>
          </w:p>
          <w:p w:rsidR="0032102B" w:rsidRPr="000C310D" w:rsidRDefault="000C310D" w:rsidP="00962AAB">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sidRPr="000C310D">
              <w:rPr>
                <w:rFonts w:ascii="Century Gothic" w:hAnsi="Century Gothic"/>
                <w:sz w:val="18"/>
                <w:szCs w:val="18"/>
              </w:rPr>
              <w:t xml:space="preserve">Interest in several businesses </w:t>
            </w:r>
            <w:r>
              <w:rPr>
                <w:rFonts w:ascii="Century Gothic" w:hAnsi="Century Gothic"/>
                <w:sz w:val="18"/>
                <w:szCs w:val="18"/>
              </w:rPr>
              <w:t>achieved greater than</w:t>
            </w:r>
            <w:r w:rsidRPr="000C310D">
              <w:rPr>
                <w:rFonts w:ascii="Century Gothic" w:hAnsi="Century Gothic"/>
                <w:sz w:val="18"/>
                <w:szCs w:val="18"/>
              </w:rPr>
              <w:t xml:space="preserve"> 4.5 time current year EBIT</w:t>
            </w:r>
            <w:r w:rsidR="00962AAB">
              <w:rPr>
                <w:rFonts w:ascii="Century Gothic" w:hAnsi="Century Gothic"/>
                <w:sz w:val="18"/>
                <w:szCs w:val="18"/>
              </w:rPr>
              <w:t xml:space="preserve"> (where revenues and EBIT were trending higher)</w:t>
            </w:r>
            <w:r w:rsidRPr="000C310D">
              <w:rPr>
                <w:rFonts w:ascii="Century Gothic" w:hAnsi="Century Gothic"/>
                <w:sz w:val="18"/>
                <w:szCs w:val="18"/>
              </w:rPr>
              <w:t>.</w:t>
            </w:r>
          </w:p>
        </w:tc>
        <w:tc>
          <w:tcPr>
            <w:tcW w:w="2999" w:type="dxa"/>
            <w:shd w:val="clear" w:color="auto" w:fill="auto"/>
          </w:tcPr>
          <w:p w:rsidR="0032102B" w:rsidRDefault="00137BA9" w:rsidP="0040156F">
            <w:pP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AU"/>
              </w:rPr>
            </w:pPr>
            <w:r>
              <w:rPr>
                <w:rFonts w:ascii="Century Gothic" w:hAnsi="Century Gothic"/>
                <w:sz w:val="18"/>
                <w:szCs w:val="18"/>
                <w:lang w:val="en-AU"/>
              </w:rPr>
              <w:t>Syndicates, private equity and corporates</w:t>
            </w:r>
            <w:r w:rsidR="0040156F">
              <w:rPr>
                <w:rFonts w:ascii="Century Gothic" w:hAnsi="Century Gothic"/>
                <w:sz w:val="18"/>
                <w:szCs w:val="18"/>
                <w:lang w:val="en-AU"/>
              </w:rPr>
              <w:t>. I</w:t>
            </w:r>
            <w:r>
              <w:rPr>
                <w:rFonts w:ascii="Century Gothic" w:hAnsi="Century Gothic"/>
                <w:sz w:val="18"/>
                <w:szCs w:val="18"/>
                <w:lang w:val="en-AU"/>
              </w:rPr>
              <w:t>nternational and domestic</w:t>
            </w:r>
            <w:r w:rsidR="005D39DC">
              <w:rPr>
                <w:rFonts w:ascii="Century Gothic" w:hAnsi="Century Gothic"/>
                <w:sz w:val="18"/>
                <w:szCs w:val="18"/>
                <w:lang w:val="en-AU"/>
              </w:rPr>
              <w:t xml:space="preserve"> (bolt-on, multiple arbitrage and IPO)</w:t>
            </w:r>
          </w:p>
        </w:tc>
      </w:tr>
      <w:tr w:rsidR="0032102B" w:rsidTr="00535E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8" w:type="dxa"/>
            <w:shd w:val="clear" w:color="auto" w:fill="auto"/>
          </w:tcPr>
          <w:p w:rsidR="0032102B" w:rsidRPr="00F65297" w:rsidRDefault="0032102B" w:rsidP="00F65297">
            <w:pPr>
              <w:rPr>
                <w:rFonts w:ascii="Century Gothic" w:hAnsi="Century Gothic"/>
                <w:b w:val="0"/>
                <w:bCs w:val="0"/>
                <w:sz w:val="18"/>
                <w:szCs w:val="18"/>
              </w:rPr>
            </w:pPr>
            <w:r>
              <w:rPr>
                <w:rFonts w:ascii="Century Gothic" w:hAnsi="Century Gothic"/>
                <w:b w:val="0"/>
                <w:bCs w:val="0"/>
                <w:sz w:val="18"/>
                <w:szCs w:val="18"/>
              </w:rPr>
              <w:t>Service stations</w:t>
            </w:r>
          </w:p>
        </w:tc>
        <w:tc>
          <w:tcPr>
            <w:tcW w:w="5061" w:type="dxa"/>
            <w:shd w:val="clear" w:color="auto" w:fill="auto"/>
          </w:tcPr>
          <w:p w:rsidR="0032102B" w:rsidRPr="00B31760" w:rsidRDefault="00B31760" w:rsidP="00B31760">
            <w:pPr>
              <w:pStyle w:val="ListParagraph"/>
              <w:numPr>
                <w:ilvl w:val="0"/>
                <w:numId w:val="18"/>
              </w:numP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sidRPr="00B31760">
              <w:rPr>
                <w:rFonts w:ascii="Century Gothic" w:hAnsi="Century Gothic"/>
                <w:sz w:val="18"/>
                <w:szCs w:val="18"/>
              </w:rPr>
              <w:t>Up to 4 times EBITDA achieved for business sale</w:t>
            </w:r>
          </w:p>
          <w:p w:rsidR="00B31760" w:rsidRPr="00B31760" w:rsidRDefault="00B31760" w:rsidP="00B31760">
            <w:pPr>
              <w:pStyle w:val="ListParagraph"/>
              <w:numPr>
                <w:ilvl w:val="0"/>
                <w:numId w:val="18"/>
              </w:numP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sidRPr="00B31760">
              <w:rPr>
                <w:rFonts w:ascii="Century Gothic" w:hAnsi="Century Gothic"/>
                <w:sz w:val="18"/>
                <w:szCs w:val="18"/>
              </w:rPr>
              <w:t xml:space="preserve">Freehold sales with long-term leases (10 years or more) achieved 8% yield </w:t>
            </w:r>
          </w:p>
        </w:tc>
        <w:tc>
          <w:tcPr>
            <w:tcW w:w="2999" w:type="dxa"/>
            <w:shd w:val="clear" w:color="auto" w:fill="auto"/>
          </w:tcPr>
          <w:p w:rsidR="0032102B" w:rsidRDefault="0032102B" w:rsidP="0040156F">
            <w:pP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AU"/>
              </w:rPr>
            </w:pPr>
            <w:r w:rsidRPr="00137BA9">
              <w:rPr>
                <w:rFonts w:ascii="Century Gothic" w:hAnsi="Century Gothic"/>
                <w:sz w:val="18"/>
                <w:szCs w:val="18"/>
              </w:rPr>
              <w:t>Large listed or public companies</w:t>
            </w:r>
            <w:r w:rsidR="0040156F">
              <w:rPr>
                <w:rFonts w:ascii="Century Gothic" w:hAnsi="Century Gothic"/>
                <w:sz w:val="18"/>
                <w:szCs w:val="18"/>
              </w:rPr>
              <w:t>. D</w:t>
            </w:r>
            <w:r w:rsidR="00137BA9" w:rsidRPr="00137BA9">
              <w:rPr>
                <w:rFonts w:ascii="Century Gothic" w:hAnsi="Century Gothic"/>
                <w:sz w:val="18"/>
                <w:szCs w:val="18"/>
              </w:rPr>
              <w:t xml:space="preserve">omestic </w:t>
            </w:r>
            <w:r w:rsidRPr="00137BA9">
              <w:rPr>
                <w:rFonts w:ascii="Century Gothic" w:hAnsi="Century Gothic"/>
                <w:sz w:val="18"/>
                <w:szCs w:val="18"/>
              </w:rPr>
              <w:t>(roll-up)</w:t>
            </w:r>
          </w:p>
        </w:tc>
      </w:tr>
    </w:tbl>
    <w:p w:rsidR="0080527D" w:rsidRDefault="0080527D" w:rsidP="00535E34">
      <w:pPr>
        <w:rPr>
          <w:rFonts w:ascii="Century Gothic" w:hAnsi="Century Gothic"/>
          <w:sz w:val="18"/>
          <w:szCs w:val="18"/>
          <w:lang w:val="en-AU"/>
        </w:rPr>
      </w:pPr>
    </w:p>
    <w:p w:rsidR="00535E34" w:rsidRPr="0047533F" w:rsidRDefault="00535E34" w:rsidP="00535E34">
      <w:pPr>
        <w:rPr>
          <w:rFonts w:ascii="Century Gothic" w:hAnsi="Century Gothic"/>
          <w:b/>
          <w:color w:val="1F497D" w:themeColor="text2"/>
          <w:sz w:val="18"/>
          <w:szCs w:val="18"/>
          <w:lang w:val="en-AU"/>
        </w:rPr>
      </w:pPr>
      <w:r>
        <w:rPr>
          <w:rFonts w:ascii="Century Gothic" w:hAnsi="Century Gothic"/>
          <w:b/>
          <w:color w:val="1F497D" w:themeColor="text2"/>
          <w:sz w:val="18"/>
          <w:szCs w:val="18"/>
          <w:lang w:val="en-AU"/>
        </w:rPr>
        <w:t>Some Emerging Issues in 2015</w:t>
      </w:r>
    </w:p>
    <w:p w:rsidR="00367D41" w:rsidRDefault="00367D41" w:rsidP="00367D41">
      <w:pPr>
        <w:rPr>
          <w:rFonts w:ascii="Century Gothic" w:hAnsi="Century Gothic"/>
          <w:sz w:val="18"/>
          <w:szCs w:val="18"/>
          <w:lang w:val="en-AU"/>
        </w:rPr>
      </w:pPr>
      <w:r>
        <w:rPr>
          <w:rFonts w:ascii="Century Gothic" w:hAnsi="Century Gothic"/>
          <w:sz w:val="18"/>
          <w:szCs w:val="18"/>
          <w:lang w:val="en-AU"/>
        </w:rPr>
        <w:t xml:space="preserve">The following are some of the key issues that we believe could impact on mergers and acquisitions for SMEs in 2015. We have </w:t>
      </w:r>
      <w:r w:rsidR="00557DEE">
        <w:rPr>
          <w:rFonts w:ascii="Century Gothic" w:hAnsi="Century Gothic"/>
          <w:sz w:val="18"/>
          <w:szCs w:val="18"/>
          <w:lang w:val="en-AU"/>
        </w:rPr>
        <w:t>grouped</w:t>
      </w:r>
      <w:r>
        <w:rPr>
          <w:rFonts w:ascii="Century Gothic" w:hAnsi="Century Gothic"/>
          <w:sz w:val="18"/>
          <w:szCs w:val="18"/>
          <w:lang w:val="en-AU"/>
        </w:rPr>
        <w:t xml:space="preserve"> the issues under the three categories: economic, political and </w:t>
      </w:r>
      <w:r w:rsidR="005C5B68">
        <w:rPr>
          <w:rFonts w:ascii="Century Gothic" w:hAnsi="Century Gothic"/>
          <w:sz w:val="18"/>
          <w:szCs w:val="18"/>
          <w:lang w:val="en-AU"/>
        </w:rPr>
        <w:t>labour</w:t>
      </w:r>
      <w:r>
        <w:rPr>
          <w:rFonts w:ascii="Century Gothic" w:hAnsi="Century Gothic"/>
          <w:sz w:val="18"/>
          <w:szCs w:val="18"/>
          <w:lang w:val="en-AU"/>
        </w:rPr>
        <w:t>.</w:t>
      </w:r>
    </w:p>
    <w:p w:rsidR="00367D41" w:rsidRDefault="00367D41" w:rsidP="00367D41">
      <w:pPr>
        <w:rPr>
          <w:rFonts w:ascii="Century Gothic" w:hAnsi="Century Gothic"/>
          <w:sz w:val="18"/>
          <w:szCs w:val="18"/>
          <w:lang w:val="en-AU"/>
        </w:rPr>
      </w:pPr>
    </w:p>
    <w:p w:rsidR="00367D41" w:rsidRPr="00770084" w:rsidRDefault="00367D41" w:rsidP="00535E34">
      <w:pPr>
        <w:rPr>
          <w:rFonts w:ascii="Century Gothic" w:hAnsi="Century Gothic"/>
          <w:i/>
          <w:sz w:val="18"/>
          <w:szCs w:val="18"/>
          <w:lang w:val="en-AU"/>
        </w:rPr>
      </w:pPr>
      <w:r w:rsidRPr="00770084">
        <w:rPr>
          <w:rFonts w:ascii="Century Gothic" w:hAnsi="Century Gothic"/>
          <w:i/>
          <w:sz w:val="18"/>
          <w:szCs w:val="18"/>
          <w:lang w:val="en-AU"/>
        </w:rPr>
        <w:t>Economic Issues emerging in 2015: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6684"/>
      </w:tblGrid>
      <w:tr w:rsidR="00367D41" w:rsidTr="005E060E">
        <w:tc>
          <w:tcPr>
            <w:tcW w:w="3794" w:type="dxa"/>
          </w:tcPr>
          <w:p w:rsidR="00367D41" w:rsidRPr="00770084" w:rsidRDefault="00770084" w:rsidP="00770084">
            <w:pPr>
              <w:pStyle w:val="ListParagraph"/>
              <w:numPr>
                <w:ilvl w:val="0"/>
                <w:numId w:val="20"/>
              </w:numPr>
              <w:spacing w:after="240"/>
              <w:rPr>
                <w:rFonts w:ascii="Century Gothic" w:hAnsi="Century Gothic"/>
                <w:sz w:val="18"/>
                <w:szCs w:val="18"/>
              </w:rPr>
            </w:pPr>
            <w:r w:rsidRPr="00770084">
              <w:rPr>
                <w:rFonts w:ascii="Century Gothic" w:hAnsi="Century Gothic"/>
                <w:sz w:val="18"/>
                <w:szCs w:val="18"/>
              </w:rPr>
              <w:t>Lower Australian dollar</w:t>
            </w:r>
          </w:p>
        </w:tc>
        <w:tc>
          <w:tcPr>
            <w:tcW w:w="6684" w:type="dxa"/>
          </w:tcPr>
          <w:p w:rsidR="00367D41" w:rsidRDefault="00770084" w:rsidP="00770084">
            <w:pPr>
              <w:spacing w:after="240"/>
              <w:rPr>
                <w:rFonts w:ascii="Century Gothic" w:hAnsi="Century Gothic"/>
                <w:sz w:val="18"/>
                <w:szCs w:val="18"/>
                <w:lang w:val="en-AU"/>
              </w:rPr>
            </w:pPr>
            <w:r>
              <w:rPr>
                <w:rFonts w:ascii="Century Gothic" w:hAnsi="Century Gothic"/>
                <w:sz w:val="18"/>
                <w:szCs w:val="18"/>
              </w:rPr>
              <w:t>o</w:t>
            </w:r>
            <w:r w:rsidRPr="00770084">
              <w:rPr>
                <w:rFonts w:ascii="Century Gothic" w:hAnsi="Century Gothic"/>
                <w:sz w:val="18"/>
                <w:szCs w:val="18"/>
              </w:rPr>
              <w:t xml:space="preserve">ver the past 7 months </w:t>
            </w:r>
            <w:r>
              <w:rPr>
                <w:rFonts w:ascii="Century Gothic" w:hAnsi="Century Gothic"/>
                <w:sz w:val="18"/>
                <w:szCs w:val="18"/>
              </w:rPr>
              <w:t xml:space="preserve">the AUD </w:t>
            </w:r>
            <w:r w:rsidRPr="00770084">
              <w:rPr>
                <w:rFonts w:ascii="Century Gothic" w:hAnsi="Century Gothic"/>
                <w:sz w:val="18"/>
                <w:szCs w:val="18"/>
              </w:rPr>
              <w:t>has depreciated by 14%</w:t>
            </w:r>
            <w:r>
              <w:rPr>
                <w:rFonts w:ascii="Century Gothic" w:hAnsi="Century Gothic"/>
                <w:sz w:val="18"/>
                <w:szCs w:val="18"/>
              </w:rPr>
              <w:t xml:space="preserve"> against the USD</w:t>
            </w:r>
          </w:p>
        </w:tc>
      </w:tr>
      <w:tr w:rsidR="00367D41" w:rsidTr="005E060E">
        <w:tc>
          <w:tcPr>
            <w:tcW w:w="3794" w:type="dxa"/>
          </w:tcPr>
          <w:p w:rsidR="00F47D42" w:rsidRPr="00B648C6" w:rsidRDefault="00770084" w:rsidP="00B648C6">
            <w:pPr>
              <w:pStyle w:val="ListParagraph"/>
              <w:numPr>
                <w:ilvl w:val="0"/>
                <w:numId w:val="20"/>
              </w:numPr>
              <w:spacing w:after="240"/>
              <w:rPr>
                <w:rFonts w:ascii="Century Gothic" w:hAnsi="Century Gothic"/>
                <w:sz w:val="18"/>
                <w:szCs w:val="18"/>
              </w:rPr>
            </w:pPr>
            <w:r w:rsidRPr="00770084">
              <w:rPr>
                <w:rFonts w:ascii="Century Gothic" w:hAnsi="Century Gothic"/>
                <w:sz w:val="18"/>
                <w:szCs w:val="18"/>
              </w:rPr>
              <w:t>Decline in commodity prices and the continued slow-down in the resource sector</w:t>
            </w:r>
          </w:p>
        </w:tc>
        <w:tc>
          <w:tcPr>
            <w:tcW w:w="6684" w:type="dxa"/>
          </w:tcPr>
          <w:p w:rsidR="00367D41" w:rsidRDefault="00770084" w:rsidP="00770084">
            <w:pPr>
              <w:spacing w:after="240"/>
              <w:rPr>
                <w:rFonts w:ascii="Century Gothic" w:hAnsi="Century Gothic"/>
                <w:sz w:val="18"/>
                <w:szCs w:val="18"/>
              </w:rPr>
            </w:pPr>
            <w:r>
              <w:rPr>
                <w:rFonts w:ascii="Century Gothic" w:hAnsi="Century Gothic"/>
                <w:sz w:val="18"/>
                <w:szCs w:val="18"/>
              </w:rPr>
              <w:t>i</w:t>
            </w:r>
            <w:r w:rsidRPr="00770084">
              <w:rPr>
                <w:rFonts w:ascii="Century Gothic" w:hAnsi="Century Gothic"/>
                <w:sz w:val="18"/>
                <w:szCs w:val="18"/>
              </w:rPr>
              <w:t xml:space="preserve">ron </w:t>
            </w:r>
            <w:r>
              <w:rPr>
                <w:rFonts w:ascii="Century Gothic" w:hAnsi="Century Gothic"/>
                <w:sz w:val="18"/>
                <w:szCs w:val="18"/>
              </w:rPr>
              <w:t>o</w:t>
            </w:r>
            <w:r w:rsidRPr="00770084">
              <w:rPr>
                <w:rFonts w:ascii="Century Gothic" w:hAnsi="Century Gothic"/>
                <w:sz w:val="18"/>
                <w:szCs w:val="18"/>
              </w:rPr>
              <w:t>re has declined 47%, Copper 24% and WTI crude 47% year-on-year</w:t>
            </w:r>
          </w:p>
          <w:p w:rsidR="00F47D42" w:rsidRDefault="00F47D42" w:rsidP="00770084">
            <w:pPr>
              <w:spacing w:after="240"/>
              <w:rPr>
                <w:rFonts w:ascii="Century Gothic" w:hAnsi="Century Gothic"/>
                <w:sz w:val="18"/>
                <w:szCs w:val="18"/>
                <w:lang w:val="en-AU"/>
              </w:rPr>
            </w:pPr>
          </w:p>
        </w:tc>
      </w:tr>
    </w:tbl>
    <w:p w:rsidR="00770084" w:rsidRDefault="00770084" w:rsidP="005C5B68">
      <w:pPr>
        <w:spacing w:after="240"/>
        <w:rPr>
          <w:rFonts w:ascii="Century Gothic" w:hAnsi="Century Gothic"/>
          <w:i/>
          <w:sz w:val="18"/>
          <w:szCs w:val="18"/>
          <w:lang w:val="en-AU"/>
        </w:rPr>
      </w:pPr>
      <w:r>
        <w:rPr>
          <w:rFonts w:ascii="Century Gothic" w:hAnsi="Century Gothic"/>
          <w:i/>
          <w:sz w:val="18"/>
          <w:szCs w:val="18"/>
          <w:lang w:val="en-AU"/>
        </w:rPr>
        <w:t>Political</w:t>
      </w:r>
      <w:r w:rsidRPr="00770084">
        <w:rPr>
          <w:rFonts w:ascii="Century Gothic" w:hAnsi="Century Gothic"/>
          <w:i/>
          <w:sz w:val="18"/>
          <w:szCs w:val="18"/>
          <w:lang w:val="en-AU"/>
        </w:rPr>
        <w:t xml:space="preserve"> Issues emerging in 2015: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6684"/>
      </w:tblGrid>
      <w:tr w:rsidR="00770084" w:rsidRPr="00770084" w:rsidTr="005E060E">
        <w:tc>
          <w:tcPr>
            <w:tcW w:w="3794" w:type="dxa"/>
          </w:tcPr>
          <w:p w:rsidR="00367D41" w:rsidRPr="005C5B68" w:rsidRDefault="00770084" w:rsidP="005C5B68">
            <w:pPr>
              <w:numPr>
                <w:ilvl w:val="0"/>
                <w:numId w:val="20"/>
              </w:numPr>
              <w:spacing w:after="240"/>
              <w:rPr>
                <w:rFonts w:ascii="Century Gothic" w:hAnsi="Century Gothic"/>
                <w:sz w:val="18"/>
                <w:szCs w:val="18"/>
                <w:lang w:val="en-AU"/>
              </w:rPr>
            </w:pPr>
            <w:r w:rsidRPr="005C5B68">
              <w:rPr>
                <w:rFonts w:ascii="Century Gothic" w:hAnsi="Century Gothic"/>
                <w:sz w:val="18"/>
                <w:szCs w:val="18"/>
                <w:lang w:val="en-AU"/>
              </w:rPr>
              <w:t>New free trade agreements</w:t>
            </w:r>
          </w:p>
        </w:tc>
        <w:tc>
          <w:tcPr>
            <w:tcW w:w="6684" w:type="dxa"/>
          </w:tcPr>
          <w:p w:rsidR="00770084" w:rsidRPr="005C5B68" w:rsidRDefault="00770084" w:rsidP="005C5B68">
            <w:pPr>
              <w:spacing w:after="240"/>
              <w:rPr>
                <w:rFonts w:ascii="Century Gothic" w:hAnsi="Century Gothic"/>
                <w:sz w:val="18"/>
                <w:szCs w:val="18"/>
                <w:lang w:val="en-AU"/>
              </w:rPr>
            </w:pPr>
            <w:r w:rsidRPr="005C5B68">
              <w:rPr>
                <w:rFonts w:ascii="Century Gothic" w:hAnsi="Century Gothic"/>
                <w:sz w:val="18"/>
                <w:szCs w:val="18"/>
              </w:rPr>
              <w:t>new trade agreements with China, Japan and Korea</w:t>
            </w:r>
          </w:p>
        </w:tc>
      </w:tr>
      <w:tr w:rsidR="00770084" w:rsidRPr="00770084" w:rsidTr="005E060E">
        <w:tc>
          <w:tcPr>
            <w:tcW w:w="3794" w:type="dxa"/>
          </w:tcPr>
          <w:p w:rsidR="00367D41" w:rsidRPr="005C5B68" w:rsidRDefault="005C5B68" w:rsidP="005C5B68">
            <w:pPr>
              <w:numPr>
                <w:ilvl w:val="0"/>
                <w:numId w:val="20"/>
              </w:numPr>
              <w:spacing w:after="240"/>
              <w:rPr>
                <w:rFonts w:ascii="Century Gothic" w:hAnsi="Century Gothic"/>
                <w:sz w:val="18"/>
                <w:szCs w:val="18"/>
                <w:lang w:val="en-AU"/>
              </w:rPr>
            </w:pPr>
            <w:r w:rsidRPr="005C5B68">
              <w:rPr>
                <w:rFonts w:ascii="Century Gothic" w:hAnsi="Century Gothic"/>
                <w:sz w:val="18"/>
                <w:szCs w:val="18"/>
                <w:lang w:val="en-AU"/>
              </w:rPr>
              <w:t>Privatisation of state owned assets</w:t>
            </w:r>
          </w:p>
        </w:tc>
        <w:tc>
          <w:tcPr>
            <w:tcW w:w="6684" w:type="dxa"/>
          </w:tcPr>
          <w:p w:rsidR="00770084" w:rsidRPr="005C5B68" w:rsidRDefault="005C5B68" w:rsidP="005C5B68">
            <w:pPr>
              <w:spacing w:after="240"/>
              <w:rPr>
                <w:rFonts w:ascii="Century Gothic" w:hAnsi="Century Gothic"/>
                <w:sz w:val="18"/>
                <w:szCs w:val="18"/>
                <w:lang w:val="en-AU"/>
              </w:rPr>
            </w:pPr>
            <w:r w:rsidRPr="005C5B68">
              <w:rPr>
                <w:rFonts w:ascii="Century Gothic" w:hAnsi="Century Gothic"/>
                <w:sz w:val="18"/>
                <w:szCs w:val="18"/>
              </w:rPr>
              <w:t>such as the Queensland State Government’s $37B</w:t>
            </w:r>
            <w:r w:rsidRPr="007668E0">
              <w:rPr>
                <w:rFonts w:ascii="Century Gothic" w:hAnsi="Century Gothic"/>
                <w:sz w:val="18"/>
                <w:szCs w:val="18"/>
                <w:lang w:val="en-AU"/>
              </w:rPr>
              <w:t xml:space="preserve"> privatisation</w:t>
            </w:r>
            <w:r w:rsidRPr="005C5B68">
              <w:rPr>
                <w:rFonts w:ascii="Century Gothic" w:hAnsi="Century Gothic"/>
                <w:sz w:val="18"/>
                <w:szCs w:val="18"/>
              </w:rPr>
              <w:t xml:space="preserve"> plan</w:t>
            </w:r>
          </w:p>
        </w:tc>
      </w:tr>
    </w:tbl>
    <w:p w:rsidR="005C5B68" w:rsidRDefault="005C5B68" w:rsidP="005C5B68">
      <w:pPr>
        <w:spacing w:after="240"/>
        <w:rPr>
          <w:rFonts w:ascii="Century Gothic" w:hAnsi="Century Gothic"/>
          <w:i/>
          <w:sz w:val="18"/>
          <w:szCs w:val="18"/>
          <w:lang w:val="en-AU"/>
        </w:rPr>
      </w:pPr>
      <w:r>
        <w:rPr>
          <w:rFonts w:ascii="Century Gothic" w:hAnsi="Century Gothic"/>
          <w:i/>
          <w:sz w:val="18"/>
          <w:szCs w:val="18"/>
          <w:lang w:val="en-AU"/>
        </w:rPr>
        <w:t>Labour</w:t>
      </w:r>
      <w:r w:rsidRPr="00770084">
        <w:rPr>
          <w:rFonts w:ascii="Century Gothic" w:hAnsi="Century Gothic"/>
          <w:i/>
          <w:sz w:val="18"/>
          <w:szCs w:val="18"/>
          <w:lang w:val="en-AU"/>
        </w:rPr>
        <w:t xml:space="preserve"> Issues emerging in 2015: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6684"/>
      </w:tblGrid>
      <w:tr w:rsidR="005C5B68" w:rsidRPr="00770084" w:rsidTr="005E060E">
        <w:tc>
          <w:tcPr>
            <w:tcW w:w="3794" w:type="dxa"/>
          </w:tcPr>
          <w:p w:rsidR="005C5B68" w:rsidRPr="005C5B68" w:rsidRDefault="005C5B68" w:rsidP="00561298">
            <w:pPr>
              <w:numPr>
                <w:ilvl w:val="0"/>
                <w:numId w:val="20"/>
              </w:numPr>
              <w:spacing w:after="240"/>
              <w:rPr>
                <w:rFonts w:ascii="Century Gothic" w:hAnsi="Century Gothic"/>
                <w:sz w:val="18"/>
                <w:szCs w:val="18"/>
                <w:lang w:val="en-AU"/>
              </w:rPr>
            </w:pPr>
            <w:r w:rsidRPr="005C5B68">
              <w:rPr>
                <w:rFonts w:ascii="Century Gothic" w:hAnsi="Century Gothic"/>
                <w:sz w:val="18"/>
                <w:szCs w:val="18"/>
              </w:rPr>
              <w:t>Continued offshoring and crowdsourcing</w:t>
            </w:r>
          </w:p>
        </w:tc>
        <w:tc>
          <w:tcPr>
            <w:tcW w:w="6684" w:type="dxa"/>
          </w:tcPr>
          <w:p w:rsidR="005C5B68" w:rsidRPr="005C5B68" w:rsidRDefault="005C5B68" w:rsidP="005C5B68">
            <w:pPr>
              <w:spacing w:after="240"/>
              <w:rPr>
                <w:rFonts w:ascii="Century Gothic" w:hAnsi="Century Gothic"/>
                <w:sz w:val="18"/>
                <w:szCs w:val="18"/>
                <w:lang w:val="en-AU"/>
              </w:rPr>
            </w:pPr>
            <w:r w:rsidRPr="005C5B68">
              <w:rPr>
                <w:rFonts w:ascii="Century Gothic" w:hAnsi="Century Gothic"/>
                <w:sz w:val="18"/>
                <w:szCs w:val="18"/>
              </w:rPr>
              <w:t xml:space="preserve">disruptive to industries historically dependent on </w:t>
            </w:r>
            <w:r w:rsidR="00557DEE">
              <w:rPr>
                <w:rFonts w:ascii="Century Gothic" w:hAnsi="Century Gothic"/>
                <w:sz w:val="18"/>
                <w:szCs w:val="18"/>
              </w:rPr>
              <w:t xml:space="preserve">higher cost </w:t>
            </w:r>
            <w:r w:rsidRPr="005C5B68">
              <w:rPr>
                <w:rFonts w:ascii="Century Gothic" w:hAnsi="Century Gothic"/>
                <w:sz w:val="18"/>
                <w:szCs w:val="18"/>
              </w:rPr>
              <w:t>local</w:t>
            </w:r>
            <w:r w:rsidRPr="007668E0">
              <w:rPr>
                <w:rFonts w:ascii="Century Gothic" w:hAnsi="Century Gothic"/>
                <w:sz w:val="18"/>
                <w:szCs w:val="18"/>
                <w:lang w:val="en-AU"/>
              </w:rPr>
              <w:t xml:space="preserve"> labour</w:t>
            </w:r>
          </w:p>
        </w:tc>
      </w:tr>
      <w:tr w:rsidR="005C5B68" w:rsidRPr="00770084" w:rsidTr="005E060E">
        <w:tc>
          <w:tcPr>
            <w:tcW w:w="3794" w:type="dxa"/>
          </w:tcPr>
          <w:p w:rsidR="005C5B68" w:rsidRPr="005C5B68" w:rsidRDefault="005C5B68" w:rsidP="00561298">
            <w:pPr>
              <w:numPr>
                <w:ilvl w:val="0"/>
                <w:numId w:val="20"/>
              </w:numPr>
              <w:spacing w:after="240"/>
              <w:rPr>
                <w:rFonts w:ascii="Century Gothic" w:hAnsi="Century Gothic"/>
                <w:sz w:val="18"/>
                <w:szCs w:val="18"/>
                <w:lang w:val="en-AU"/>
              </w:rPr>
            </w:pPr>
            <w:r w:rsidRPr="005C5B68">
              <w:rPr>
                <w:rFonts w:ascii="Century Gothic" w:hAnsi="Century Gothic"/>
                <w:sz w:val="18"/>
                <w:szCs w:val="18"/>
              </w:rPr>
              <w:t>Redundancies of “white collar” and technical professionals</w:t>
            </w:r>
          </w:p>
        </w:tc>
        <w:tc>
          <w:tcPr>
            <w:tcW w:w="6684" w:type="dxa"/>
          </w:tcPr>
          <w:p w:rsidR="005C5B68" w:rsidRPr="005C5B68" w:rsidRDefault="005C5B68" w:rsidP="00561298">
            <w:pPr>
              <w:spacing w:after="240"/>
              <w:rPr>
                <w:rFonts w:ascii="Century Gothic" w:hAnsi="Century Gothic"/>
                <w:sz w:val="18"/>
                <w:szCs w:val="18"/>
                <w:lang w:val="en-AU"/>
              </w:rPr>
            </w:pPr>
            <w:r w:rsidRPr="005C5B68">
              <w:rPr>
                <w:rFonts w:ascii="Century Gothic" w:hAnsi="Century Gothic"/>
                <w:sz w:val="18"/>
                <w:szCs w:val="18"/>
              </w:rPr>
              <w:t>due to the ongoing slow-down in the resources sector</w:t>
            </w:r>
            <w:r w:rsidR="00153350">
              <w:rPr>
                <w:rFonts w:ascii="Century Gothic" w:hAnsi="Century Gothic"/>
                <w:sz w:val="18"/>
                <w:szCs w:val="18"/>
              </w:rPr>
              <w:t>, reduction in the public sector</w:t>
            </w:r>
            <w:r w:rsidRPr="005C5B68">
              <w:rPr>
                <w:rFonts w:ascii="Century Gothic" w:hAnsi="Century Gothic"/>
                <w:sz w:val="18"/>
                <w:szCs w:val="18"/>
              </w:rPr>
              <w:t xml:space="preserve"> and </w:t>
            </w:r>
            <w:r>
              <w:rPr>
                <w:rFonts w:ascii="Century Gothic" w:hAnsi="Century Gothic"/>
                <w:sz w:val="18"/>
                <w:szCs w:val="18"/>
              </w:rPr>
              <w:t>slow</w:t>
            </w:r>
            <w:r w:rsidR="00153350">
              <w:rPr>
                <w:rFonts w:ascii="Century Gothic" w:hAnsi="Century Gothic"/>
                <w:sz w:val="18"/>
                <w:szCs w:val="18"/>
              </w:rPr>
              <w:t>er</w:t>
            </w:r>
            <w:r>
              <w:rPr>
                <w:rFonts w:ascii="Century Gothic" w:hAnsi="Century Gothic"/>
                <w:sz w:val="18"/>
                <w:szCs w:val="18"/>
              </w:rPr>
              <w:t xml:space="preserve"> economic growth</w:t>
            </w:r>
          </w:p>
        </w:tc>
      </w:tr>
    </w:tbl>
    <w:p w:rsidR="00367D41" w:rsidRDefault="00367D41" w:rsidP="002D789D">
      <w:pPr>
        <w:rPr>
          <w:rFonts w:ascii="Century Gothic" w:hAnsi="Century Gothic"/>
          <w:sz w:val="18"/>
          <w:szCs w:val="18"/>
          <w:lang w:val="en-AU"/>
        </w:rPr>
      </w:pPr>
      <w:r>
        <w:rPr>
          <w:rFonts w:ascii="Century Gothic" w:hAnsi="Century Gothic"/>
          <w:sz w:val="18"/>
          <w:szCs w:val="18"/>
          <w:lang w:val="en-AU"/>
        </w:rPr>
        <w:lastRenderedPageBreak/>
        <w:t>This is obviously not an exhaustive list</w:t>
      </w:r>
      <w:r w:rsidR="00153350">
        <w:rPr>
          <w:rFonts w:ascii="Century Gothic" w:hAnsi="Century Gothic"/>
          <w:sz w:val="18"/>
          <w:szCs w:val="18"/>
          <w:lang w:val="en-AU"/>
        </w:rPr>
        <w:t xml:space="preserve">. For example, </w:t>
      </w:r>
      <w:r>
        <w:rPr>
          <w:rFonts w:ascii="Century Gothic" w:hAnsi="Century Gothic"/>
          <w:sz w:val="18"/>
          <w:szCs w:val="18"/>
          <w:lang w:val="en-AU"/>
        </w:rPr>
        <w:t>issues such as sustained low cost of capital</w:t>
      </w:r>
      <w:r w:rsidR="00B648C6">
        <w:rPr>
          <w:rFonts w:ascii="Century Gothic" w:hAnsi="Century Gothic"/>
          <w:sz w:val="18"/>
          <w:szCs w:val="18"/>
          <w:lang w:val="en-AU"/>
        </w:rPr>
        <w:t xml:space="preserve"> and debt, </w:t>
      </w:r>
      <w:r>
        <w:rPr>
          <w:rFonts w:ascii="Century Gothic" w:hAnsi="Century Gothic"/>
          <w:sz w:val="18"/>
          <w:szCs w:val="18"/>
          <w:lang w:val="en-AU"/>
        </w:rPr>
        <w:t xml:space="preserve"> increased uncertainty regarding returns on ASX listed shares</w:t>
      </w:r>
      <w:r w:rsidR="00B648C6">
        <w:rPr>
          <w:rFonts w:ascii="Century Gothic" w:hAnsi="Century Gothic"/>
          <w:sz w:val="18"/>
          <w:szCs w:val="18"/>
          <w:lang w:val="en-AU"/>
        </w:rPr>
        <w:t>, and continued demand for new ASX listings</w:t>
      </w:r>
      <w:r>
        <w:rPr>
          <w:rFonts w:ascii="Century Gothic" w:hAnsi="Century Gothic"/>
          <w:sz w:val="18"/>
          <w:szCs w:val="18"/>
          <w:lang w:val="en-AU"/>
        </w:rPr>
        <w:t xml:space="preserve"> m</w:t>
      </w:r>
      <w:r w:rsidR="00153350">
        <w:rPr>
          <w:rFonts w:ascii="Century Gothic" w:hAnsi="Century Gothic"/>
          <w:sz w:val="18"/>
          <w:szCs w:val="18"/>
          <w:lang w:val="en-AU"/>
        </w:rPr>
        <w:t>a</w:t>
      </w:r>
      <w:r>
        <w:rPr>
          <w:rFonts w:ascii="Century Gothic" w:hAnsi="Century Gothic"/>
          <w:sz w:val="18"/>
          <w:szCs w:val="18"/>
          <w:lang w:val="en-AU"/>
        </w:rPr>
        <w:t>y make investment in SMEs as an alternative asset class more attractive in 2015.</w:t>
      </w:r>
    </w:p>
    <w:p w:rsidR="00107AEC" w:rsidRDefault="00107AEC" w:rsidP="002D789D">
      <w:pPr>
        <w:rPr>
          <w:rFonts w:ascii="Century Gothic" w:hAnsi="Century Gothic"/>
          <w:sz w:val="18"/>
          <w:szCs w:val="18"/>
          <w:lang w:val="en-AU"/>
        </w:rPr>
      </w:pPr>
    </w:p>
    <w:p w:rsidR="00493F63" w:rsidRPr="0047533F" w:rsidRDefault="00493F63" w:rsidP="00493F63">
      <w:pPr>
        <w:rPr>
          <w:rFonts w:ascii="Century Gothic" w:hAnsi="Century Gothic"/>
          <w:b/>
          <w:color w:val="1F497D" w:themeColor="text2"/>
          <w:sz w:val="18"/>
          <w:szCs w:val="18"/>
          <w:lang w:val="en-AU"/>
        </w:rPr>
      </w:pPr>
      <w:r>
        <w:rPr>
          <w:rFonts w:ascii="Century Gothic" w:hAnsi="Century Gothic"/>
          <w:b/>
          <w:color w:val="1F497D" w:themeColor="text2"/>
          <w:sz w:val="18"/>
          <w:szCs w:val="18"/>
          <w:lang w:val="en-AU"/>
        </w:rPr>
        <w:t xml:space="preserve">Potential Impact on </w:t>
      </w:r>
      <w:r w:rsidR="00643102">
        <w:rPr>
          <w:rFonts w:ascii="Century Gothic" w:hAnsi="Century Gothic"/>
          <w:b/>
          <w:color w:val="1F497D" w:themeColor="text2"/>
          <w:sz w:val="18"/>
          <w:szCs w:val="18"/>
          <w:lang w:val="en-AU"/>
        </w:rPr>
        <w:t xml:space="preserve">SME </w:t>
      </w:r>
      <w:r>
        <w:rPr>
          <w:rFonts w:ascii="Century Gothic" w:hAnsi="Century Gothic"/>
          <w:b/>
          <w:color w:val="1F497D" w:themeColor="text2"/>
          <w:sz w:val="18"/>
          <w:szCs w:val="18"/>
          <w:lang w:val="en-AU"/>
        </w:rPr>
        <w:t>M&amp;A in 2015</w:t>
      </w:r>
    </w:p>
    <w:p w:rsidR="00493F63" w:rsidRDefault="00493F63" w:rsidP="00493F63">
      <w:pPr>
        <w:rPr>
          <w:rFonts w:ascii="Century Gothic" w:hAnsi="Century Gothic"/>
          <w:sz w:val="18"/>
          <w:szCs w:val="18"/>
          <w:lang w:val="en-AU"/>
        </w:rPr>
      </w:pPr>
      <w:r>
        <w:rPr>
          <w:rFonts w:ascii="Century Gothic" w:hAnsi="Century Gothic"/>
          <w:sz w:val="18"/>
          <w:szCs w:val="18"/>
          <w:lang w:val="en-AU"/>
        </w:rPr>
        <w:t>At a corporate level, we expect that M&amp;A in 2015 will be defined by:</w:t>
      </w:r>
    </w:p>
    <w:p w:rsidR="00493F63" w:rsidRPr="00493F63" w:rsidRDefault="00493F63" w:rsidP="00493F63">
      <w:pPr>
        <w:pStyle w:val="ListParagraph"/>
        <w:numPr>
          <w:ilvl w:val="0"/>
          <w:numId w:val="21"/>
        </w:numPr>
        <w:rPr>
          <w:rFonts w:ascii="Century Gothic" w:hAnsi="Century Gothic"/>
          <w:sz w:val="18"/>
          <w:szCs w:val="18"/>
        </w:rPr>
      </w:pPr>
      <w:r w:rsidRPr="00493F63">
        <w:rPr>
          <w:rFonts w:ascii="Century Gothic" w:hAnsi="Century Gothic"/>
          <w:sz w:val="18"/>
          <w:szCs w:val="18"/>
        </w:rPr>
        <w:t>Large infrastructure transactions</w:t>
      </w:r>
      <w:r w:rsidR="00153350">
        <w:rPr>
          <w:rFonts w:ascii="Century Gothic" w:hAnsi="Century Gothic"/>
          <w:sz w:val="18"/>
          <w:szCs w:val="18"/>
        </w:rPr>
        <w:t xml:space="preserve">: </w:t>
      </w:r>
      <w:r w:rsidRPr="00493F63">
        <w:rPr>
          <w:rFonts w:ascii="Century Gothic" w:hAnsi="Century Gothic"/>
          <w:sz w:val="18"/>
          <w:szCs w:val="18"/>
        </w:rPr>
        <w:t>stimulated by state government privatisation programs;</w:t>
      </w:r>
    </w:p>
    <w:p w:rsidR="00493F63" w:rsidRPr="00493F63" w:rsidRDefault="00493F63" w:rsidP="00493F63">
      <w:pPr>
        <w:pStyle w:val="ListParagraph"/>
        <w:numPr>
          <w:ilvl w:val="0"/>
          <w:numId w:val="21"/>
        </w:numPr>
        <w:rPr>
          <w:rFonts w:ascii="Century Gothic" w:hAnsi="Century Gothic"/>
          <w:sz w:val="18"/>
          <w:szCs w:val="18"/>
        </w:rPr>
      </w:pPr>
      <w:r w:rsidRPr="00493F63">
        <w:rPr>
          <w:rFonts w:ascii="Century Gothic" w:hAnsi="Century Gothic"/>
          <w:sz w:val="18"/>
          <w:szCs w:val="18"/>
        </w:rPr>
        <w:t>Industry consolidation within the resource sector</w:t>
      </w:r>
      <w:r w:rsidR="00153350">
        <w:rPr>
          <w:rFonts w:ascii="Century Gothic" w:hAnsi="Century Gothic"/>
          <w:sz w:val="18"/>
          <w:szCs w:val="18"/>
        </w:rPr>
        <w:t>:</w:t>
      </w:r>
      <w:r w:rsidRPr="00493F63">
        <w:rPr>
          <w:rFonts w:ascii="Century Gothic" w:hAnsi="Century Gothic"/>
          <w:sz w:val="18"/>
          <w:szCs w:val="18"/>
        </w:rPr>
        <w:t xml:space="preserve"> due to the fall in commodity prices;</w:t>
      </w:r>
    </w:p>
    <w:p w:rsidR="00493F63" w:rsidRPr="00493F63" w:rsidRDefault="00493F63" w:rsidP="00493F63">
      <w:pPr>
        <w:pStyle w:val="ListParagraph"/>
        <w:numPr>
          <w:ilvl w:val="0"/>
          <w:numId w:val="21"/>
        </w:numPr>
        <w:rPr>
          <w:rFonts w:ascii="Century Gothic" w:hAnsi="Century Gothic"/>
          <w:sz w:val="18"/>
          <w:szCs w:val="18"/>
        </w:rPr>
      </w:pPr>
      <w:r w:rsidRPr="00493F63">
        <w:rPr>
          <w:rFonts w:ascii="Century Gothic" w:hAnsi="Century Gothic"/>
          <w:sz w:val="18"/>
          <w:szCs w:val="18"/>
        </w:rPr>
        <w:t>Increased inbound activity</w:t>
      </w:r>
      <w:r w:rsidR="00153350">
        <w:rPr>
          <w:rFonts w:ascii="Century Gothic" w:hAnsi="Century Gothic"/>
          <w:sz w:val="18"/>
          <w:szCs w:val="18"/>
        </w:rPr>
        <w:t>:</w:t>
      </w:r>
      <w:r w:rsidRPr="00493F63">
        <w:rPr>
          <w:rFonts w:ascii="Century Gothic" w:hAnsi="Century Gothic"/>
          <w:sz w:val="18"/>
          <w:szCs w:val="18"/>
        </w:rPr>
        <w:t xml:space="preserve"> demand for large Australian assets will likely increase due to the lower Australian dollar; and</w:t>
      </w:r>
    </w:p>
    <w:p w:rsidR="00493F63" w:rsidRPr="00493F63" w:rsidRDefault="00493F63" w:rsidP="00493F63">
      <w:pPr>
        <w:pStyle w:val="ListParagraph"/>
        <w:numPr>
          <w:ilvl w:val="0"/>
          <w:numId w:val="21"/>
        </w:numPr>
        <w:rPr>
          <w:rFonts w:ascii="Century Gothic" w:hAnsi="Century Gothic"/>
          <w:sz w:val="18"/>
          <w:szCs w:val="18"/>
        </w:rPr>
      </w:pPr>
      <w:r w:rsidRPr="00493F63">
        <w:rPr>
          <w:rFonts w:ascii="Century Gothic" w:hAnsi="Century Gothic"/>
          <w:sz w:val="18"/>
          <w:szCs w:val="18"/>
        </w:rPr>
        <w:t>Increased outbound activity</w:t>
      </w:r>
      <w:r w:rsidR="00153350">
        <w:rPr>
          <w:rFonts w:ascii="Century Gothic" w:hAnsi="Century Gothic"/>
          <w:sz w:val="18"/>
          <w:szCs w:val="18"/>
        </w:rPr>
        <w:t xml:space="preserve">: </w:t>
      </w:r>
      <w:r w:rsidRPr="00493F63">
        <w:rPr>
          <w:rFonts w:ascii="Century Gothic" w:hAnsi="Century Gothic"/>
          <w:sz w:val="18"/>
          <w:szCs w:val="18"/>
        </w:rPr>
        <w:t xml:space="preserve">Australian companies will increase </w:t>
      </w:r>
      <w:r w:rsidR="00153350">
        <w:rPr>
          <w:rFonts w:ascii="Century Gothic" w:hAnsi="Century Gothic"/>
          <w:sz w:val="18"/>
          <w:szCs w:val="18"/>
        </w:rPr>
        <w:t>o</w:t>
      </w:r>
      <w:r w:rsidRPr="00493F63">
        <w:rPr>
          <w:rFonts w:ascii="Century Gothic" w:hAnsi="Century Gothic"/>
          <w:sz w:val="18"/>
          <w:szCs w:val="18"/>
        </w:rPr>
        <w:t>ffshore acquisition</w:t>
      </w:r>
      <w:r w:rsidR="00153350">
        <w:rPr>
          <w:rFonts w:ascii="Century Gothic" w:hAnsi="Century Gothic"/>
          <w:sz w:val="18"/>
          <w:szCs w:val="18"/>
        </w:rPr>
        <w:t>s</w:t>
      </w:r>
      <w:r w:rsidRPr="00493F63">
        <w:rPr>
          <w:rFonts w:ascii="Century Gothic" w:hAnsi="Century Gothic"/>
          <w:sz w:val="18"/>
          <w:szCs w:val="18"/>
        </w:rPr>
        <w:t xml:space="preserve"> as they seek higher yields and international currency exposure.</w:t>
      </w:r>
    </w:p>
    <w:p w:rsidR="00493F63" w:rsidRDefault="00493F63" w:rsidP="002D789D">
      <w:pPr>
        <w:rPr>
          <w:rFonts w:ascii="Century Gothic" w:hAnsi="Century Gothic"/>
          <w:sz w:val="18"/>
          <w:szCs w:val="18"/>
          <w:lang w:val="en-AU"/>
        </w:rPr>
      </w:pPr>
    </w:p>
    <w:p w:rsidR="006A5DC5" w:rsidRDefault="00153350" w:rsidP="002D789D">
      <w:pPr>
        <w:rPr>
          <w:rFonts w:ascii="Century Gothic" w:hAnsi="Century Gothic"/>
          <w:sz w:val="18"/>
          <w:szCs w:val="18"/>
          <w:lang w:val="en-AU"/>
        </w:rPr>
      </w:pPr>
      <w:r>
        <w:rPr>
          <w:rFonts w:ascii="Century Gothic" w:hAnsi="Century Gothic"/>
          <w:sz w:val="18"/>
          <w:szCs w:val="18"/>
          <w:lang w:val="en-AU"/>
        </w:rPr>
        <w:t>At the SME level</w:t>
      </w:r>
      <w:r w:rsidR="006A5DC5">
        <w:rPr>
          <w:rFonts w:ascii="Century Gothic" w:hAnsi="Century Gothic"/>
          <w:sz w:val="18"/>
          <w:szCs w:val="18"/>
          <w:lang w:val="en-AU"/>
        </w:rPr>
        <w:t>, w</w:t>
      </w:r>
      <w:r w:rsidR="00E223D7">
        <w:rPr>
          <w:rFonts w:ascii="Century Gothic" w:hAnsi="Century Gothic"/>
          <w:sz w:val="18"/>
          <w:szCs w:val="18"/>
          <w:lang w:val="en-AU"/>
        </w:rPr>
        <w:t xml:space="preserve">e believe the emerging issues presented above could </w:t>
      </w:r>
      <w:r w:rsidR="006A5DC5">
        <w:rPr>
          <w:rFonts w:ascii="Century Gothic" w:hAnsi="Century Gothic"/>
          <w:sz w:val="18"/>
          <w:szCs w:val="18"/>
          <w:lang w:val="en-AU"/>
        </w:rPr>
        <w:t xml:space="preserve">significantly </w:t>
      </w:r>
      <w:r w:rsidR="00E223D7">
        <w:rPr>
          <w:rFonts w:ascii="Century Gothic" w:hAnsi="Century Gothic"/>
          <w:sz w:val="18"/>
          <w:szCs w:val="18"/>
          <w:lang w:val="en-AU"/>
        </w:rPr>
        <w:t xml:space="preserve">impact </w:t>
      </w:r>
      <w:r w:rsidR="006A5DC5">
        <w:rPr>
          <w:rFonts w:ascii="Century Gothic" w:hAnsi="Century Gothic"/>
          <w:sz w:val="18"/>
          <w:szCs w:val="18"/>
          <w:lang w:val="en-AU"/>
        </w:rPr>
        <w:t xml:space="preserve">on the M&amp;A trends in 2015. </w:t>
      </w:r>
      <w:r w:rsidR="00EF0458">
        <w:rPr>
          <w:rFonts w:ascii="Century Gothic" w:hAnsi="Century Gothic"/>
          <w:sz w:val="18"/>
          <w:szCs w:val="18"/>
          <w:lang w:val="en-AU"/>
        </w:rPr>
        <w:t>Outlined below are s</w:t>
      </w:r>
      <w:r w:rsidR="006A5DC5">
        <w:rPr>
          <w:rFonts w:ascii="Century Gothic" w:hAnsi="Century Gothic"/>
          <w:sz w:val="18"/>
          <w:szCs w:val="18"/>
          <w:lang w:val="en-AU"/>
        </w:rPr>
        <w:t>ome key trends that we believe could emerge in 2015</w:t>
      </w:r>
      <w:r>
        <w:rPr>
          <w:rFonts w:ascii="Century Gothic" w:hAnsi="Century Gothic"/>
          <w:sz w:val="18"/>
          <w:szCs w:val="18"/>
          <w:lang w:val="en-AU"/>
        </w:rPr>
        <w:t xml:space="preserve"> for Australian SMEs</w:t>
      </w:r>
      <w:r w:rsidR="00EF0458">
        <w:rPr>
          <w:rFonts w:ascii="Century Gothic" w:hAnsi="Century Gothic"/>
          <w:sz w:val="18"/>
          <w:szCs w:val="18"/>
          <w:lang w:val="en-AU"/>
        </w:rPr>
        <w:t>.</w:t>
      </w:r>
    </w:p>
    <w:p w:rsidR="006A5DC5" w:rsidRDefault="006A5DC5" w:rsidP="002D789D">
      <w:pPr>
        <w:rPr>
          <w:rFonts w:ascii="Century Gothic" w:hAnsi="Century Gothic"/>
          <w:sz w:val="18"/>
          <w:szCs w:val="18"/>
          <w:lang w:val="en-AU"/>
        </w:rPr>
      </w:pPr>
    </w:p>
    <w:p w:rsidR="00EF0458" w:rsidRPr="00F46794" w:rsidRDefault="00246187" w:rsidP="002D789D">
      <w:pPr>
        <w:rPr>
          <w:rFonts w:ascii="Century Gothic" w:hAnsi="Century Gothic"/>
          <w:b/>
          <w:i/>
          <w:sz w:val="18"/>
          <w:szCs w:val="18"/>
          <w:lang w:val="en-AU"/>
        </w:rPr>
      </w:pPr>
      <w:r w:rsidRPr="00F46794">
        <w:rPr>
          <w:rFonts w:ascii="Century Gothic" w:hAnsi="Century Gothic"/>
          <w:b/>
          <w:i/>
          <w:sz w:val="18"/>
          <w:szCs w:val="18"/>
          <w:lang w:val="en-AU"/>
        </w:rPr>
        <w:t xml:space="preserve">1. </w:t>
      </w:r>
      <w:r w:rsidR="00EF0458" w:rsidRPr="00F46794">
        <w:rPr>
          <w:rFonts w:ascii="Century Gothic" w:hAnsi="Century Gothic"/>
          <w:b/>
          <w:i/>
          <w:sz w:val="18"/>
          <w:szCs w:val="18"/>
          <w:lang w:val="en-AU"/>
        </w:rPr>
        <w:t xml:space="preserve">Increased demand for businesses backed by differentiated </w:t>
      </w:r>
      <w:r w:rsidRPr="00F46794">
        <w:rPr>
          <w:rFonts w:ascii="Century Gothic" w:hAnsi="Century Gothic"/>
          <w:b/>
          <w:i/>
          <w:sz w:val="18"/>
          <w:szCs w:val="18"/>
          <w:lang w:val="en-AU"/>
        </w:rPr>
        <w:t>i</w:t>
      </w:r>
      <w:r w:rsidR="00EF0458" w:rsidRPr="00F46794">
        <w:rPr>
          <w:rFonts w:ascii="Century Gothic" w:hAnsi="Century Gothic"/>
          <w:b/>
          <w:i/>
          <w:sz w:val="18"/>
          <w:szCs w:val="18"/>
          <w:lang w:val="en-AU"/>
        </w:rPr>
        <w:t xml:space="preserve">ntellectual </w:t>
      </w:r>
      <w:r w:rsidRPr="00F46794">
        <w:rPr>
          <w:rFonts w:ascii="Century Gothic" w:hAnsi="Century Gothic"/>
          <w:b/>
          <w:i/>
          <w:sz w:val="18"/>
          <w:szCs w:val="18"/>
          <w:lang w:val="en-AU"/>
        </w:rPr>
        <w:t>p</w:t>
      </w:r>
      <w:r w:rsidR="00EF0458" w:rsidRPr="00F46794">
        <w:rPr>
          <w:rFonts w:ascii="Century Gothic" w:hAnsi="Century Gothic"/>
          <w:b/>
          <w:i/>
          <w:sz w:val="18"/>
          <w:szCs w:val="18"/>
          <w:lang w:val="en-AU"/>
        </w:rPr>
        <w:t>roperty with international application</w:t>
      </w:r>
    </w:p>
    <w:p w:rsidR="002F0C70" w:rsidRDefault="002F0C70" w:rsidP="002D789D">
      <w:pPr>
        <w:rPr>
          <w:rFonts w:ascii="Century Gothic" w:hAnsi="Century Gothic"/>
          <w:sz w:val="18"/>
          <w:szCs w:val="18"/>
          <w:lang w:val="en-AU"/>
        </w:rPr>
      </w:pPr>
      <w:r>
        <w:rPr>
          <w:rFonts w:ascii="Century Gothic" w:hAnsi="Century Gothic"/>
          <w:sz w:val="18"/>
          <w:szCs w:val="18"/>
          <w:lang w:val="en-AU"/>
        </w:rPr>
        <w:t xml:space="preserve">Assets backed by differentiated IP will continue to be attractive to acquirers as they look to capture international markets. This may be applicable for </w:t>
      </w:r>
      <w:r w:rsidR="00153350">
        <w:rPr>
          <w:rFonts w:ascii="Century Gothic" w:hAnsi="Century Gothic"/>
          <w:sz w:val="18"/>
          <w:szCs w:val="18"/>
          <w:lang w:val="en-AU"/>
        </w:rPr>
        <w:t xml:space="preserve">domestic </w:t>
      </w:r>
      <w:r>
        <w:rPr>
          <w:rFonts w:ascii="Century Gothic" w:hAnsi="Century Gothic"/>
          <w:sz w:val="18"/>
          <w:szCs w:val="18"/>
          <w:lang w:val="en-AU"/>
        </w:rPr>
        <w:t>acquirers who look to take the assets to international markets with substantially higher volumes</w:t>
      </w:r>
      <w:r w:rsidR="00153350">
        <w:rPr>
          <w:rFonts w:ascii="Century Gothic" w:hAnsi="Century Gothic"/>
          <w:sz w:val="18"/>
          <w:szCs w:val="18"/>
          <w:lang w:val="en-AU"/>
        </w:rPr>
        <w:t>. It is also relevant for</w:t>
      </w:r>
      <w:r>
        <w:rPr>
          <w:rFonts w:ascii="Century Gothic" w:hAnsi="Century Gothic"/>
          <w:sz w:val="18"/>
          <w:szCs w:val="18"/>
          <w:lang w:val="en-AU"/>
        </w:rPr>
        <w:t xml:space="preserve"> foreign buyers who are seeking to enter the Australian market</w:t>
      </w:r>
      <w:r w:rsidR="00153350">
        <w:rPr>
          <w:rFonts w:ascii="Century Gothic" w:hAnsi="Century Gothic"/>
          <w:sz w:val="18"/>
          <w:szCs w:val="18"/>
          <w:lang w:val="en-AU"/>
        </w:rPr>
        <w:t xml:space="preserve"> via an efficient channel</w:t>
      </w:r>
      <w:r>
        <w:rPr>
          <w:rFonts w:ascii="Century Gothic" w:hAnsi="Century Gothic"/>
          <w:sz w:val="18"/>
          <w:szCs w:val="18"/>
          <w:lang w:val="en-AU"/>
        </w:rPr>
        <w:t>.</w:t>
      </w:r>
    </w:p>
    <w:p w:rsidR="002F0C70" w:rsidRDefault="002F0C70" w:rsidP="002D789D">
      <w:pPr>
        <w:rPr>
          <w:rFonts w:ascii="Century Gothic" w:hAnsi="Century Gothic"/>
          <w:sz w:val="18"/>
          <w:szCs w:val="18"/>
          <w:lang w:val="en-AU"/>
        </w:rPr>
      </w:pPr>
    </w:p>
    <w:p w:rsidR="002F0C70" w:rsidRDefault="002F0C70" w:rsidP="002D789D">
      <w:pPr>
        <w:rPr>
          <w:rFonts w:ascii="Century Gothic" w:hAnsi="Century Gothic"/>
          <w:sz w:val="18"/>
          <w:szCs w:val="18"/>
          <w:lang w:val="en-AU"/>
        </w:rPr>
      </w:pPr>
      <w:r>
        <w:rPr>
          <w:rFonts w:ascii="Century Gothic" w:hAnsi="Century Gothic"/>
          <w:sz w:val="18"/>
          <w:szCs w:val="18"/>
          <w:lang w:val="en-AU"/>
        </w:rPr>
        <w:t>Businesses with strong intellectual property can typically be scaled with</w:t>
      </w:r>
      <w:r w:rsidR="00433727">
        <w:rPr>
          <w:rFonts w:ascii="Century Gothic" w:hAnsi="Century Gothic"/>
          <w:sz w:val="18"/>
          <w:szCs w:val="18"/>
          <w:lang w:val="en-AU"/>
        </w:rPr>
        <w:t xml:space="preserve">out proportionate increase in </w:t>
      </w:r>
      <w:r>
        <w:rPr>
          <w:rFonts w:ascii="Century Gothic" w:hAnsi="Century Gothic"/>
          <w:sz w:val="18"/>
          <w:szCs w:val="18"/>
          <w:lang w:val="en-AU"/>
        </w:rPr>
        <w:t>labour costs</w:t>
      </w:r>
      <w:r w:rsidR="009A034E">
        <w:rPr>
          <w:rFonts w:ascii="Century Gothic" w:hAnsi="Century Gothic"/>
          <w:sz w:val="18"/>
          <w:szCs w:val="18"/>
          <w:lang w:val="en-AU"/>
        </w:rPr>
        <w:t>. As such increased scale can generate significantly higher profit margins.</w:t>
      </w:r>
    </w:p>
    <w:p w:rsidR="009A034E" w:rsidRDefault="009A034E" w:rsidP="002D789D">
      <w:pPr>
        <w:rPr>
          <w:rFonts w:ascii="Century Gothic" w:hAnsi="Century Gothic"/>
          <w:sz w:val="18"/>
          <w:szCs w:val="18"/>
          <w:lang w:val="en-AU"/>
        </w:rPr>
      </w:pPr>
    </w:p>
    <w:tbl>
      <w:tblPr>
        <w:tblStyle w:val="TableGrid"/>
        <w:tblW w:w="0" w:type="auto"/>
        <w:shd w:val="clear" w:color="auto" w:fill="C6D9F1" w:themeFill="text2" w:themeFillTint="33"/>
        <w:tblLook w:val="04A0" w:firstRow="1" w:lastRow="0" w:firstColumn="1" w:lastColumn="0" w:noHBand="0" w:noVBand="1"/>
      </w:tblPr>
      <w:tblGrid>
        <w:gridCol w:w="10478"/>
      </w:tblGrid>
      <w:tr w:rsidR="009A034E" w:rsidTr="009A034E">
        <w:tc>
          <w:tcPr>
            <w:tcW w:w="10478" w:type="dxa"/>
            <w:shd w:val="clear" w:color="auto" w:fill="C6D9F1" w:themeFill="text2" w:themeFillTint="33"/>
          </w:tcPr>
          <w:p w:rsidR="009A034E" w:rsidRPr="009A034E" w:rsidRDefault="009A034E" w:rsidP="009A034E">
            <w:pPr>
              <w:pStyle w:val="ListParagraph"/>
              <w:numPr>
                <w:ilvl w:val="0"/>
                <w:numId w:val="22"/>
              </w:numPr>
              <w:rPr>
                <w:rFonts w:ascii="Century Gothic" w:hAnsi="Century Gothic"/>
                <w:sz w:val="18"/>
                <w:szCs w:val="18"/>
              </w:rPr>
            </w:pPr>
            <w:r w:rsidRPr="009A034E">
              <w:rPr>
                <w:rFonts w:ascii="Century Gothic" w:hAnsi="Century Gothic"/>
                <w:sz w:val="18"/>
                <w:szCs w:val="18"/>
              </w:rPr>
              <w:t>In 2014 Scancorp led the marketing process for the owners of technology assets. More than 30 enquiries were received from US based financial and trade prospects.</w:t>
            </w:r>
          </w:p>
          <w:p w:rsidR="009A034E" w:rsidRPr="009A034E" w:rsidRDefault="009A034E" w:rsidP="00433727">
            <w:pPr>
              <w:pStyle w:val="ListParagraph"/>
              <w:numPr>
                <w:ilvl w:val="0"/>
                <w:numId w:val="22"/>
              </w:numPr>
              <w:rPr>
                <w:rFonts w:ascii="Century Gothic" w:hAnsi="Century Gothic"/>
                <w:sz w:val="18"/>
                <w:szCs w:val="18"/>
              </w:rPr>
            </w:pPr>
            <w:r w:rsidRPr="009A034E">
              <w:rPr>
                <w:rFonts w:ascii="Century Gothic" w:hAnsi="Century Gothic"/>
                <w:sz w:val="18"/>
                <w:szCs w:val="18"/>
              </w:rPr>
              <w:t>In 2014 Scancorp assisted the Australian entry of a multi-national corporation through the acquisition of proprietary products.</w:t>
            </w:r>
            <w:r w:rsidR="00433727">
              <w:rPr>
                <w:rFonts w:ascii="Century Gothic" w:hAnsi="Century Gothic"/>
                <w:sz w:val="18"/>
                <w:szCs w:val="18"/>
              </w:rPr>
              <w:t xml:space="preserve"> Scancorp assisted with the structure and establishment of the local entity as well as the post-acquisition transition to ensure a smooth entry to Australia.</w:t>
            </w:r>
          </w:p>
        </w:tc>
      </w:tr>
    </w:tbl>
    <w:p w:rsidR="00EF0458" w:rsidRDefault="00EF0458" w:rsidP="002D789D">
      <w:pPr>
        <w:rPr>
          <w:rFonts w:ascii="Century Gothic" w:hAnsi="Century Gothic"/>
          <w:sz w:val="18"/>
          <w:szCs w:val="18"/>
          <w:lang w:val="en-AU"/>
        </w:rPr>
      </w:pPr>
    </w:p>
    <w:p w:rsidR="00246187" w:rsidRPr="00F46794" w:rsidRDefault="00246187" w:rsidP="002D789D">
      <w:pPr>
        <w:rPr>
          <w:rFonts w:ascii="Century Gothic" w:hAnsi="Century Gothic"/>
          <w:b/>
          <w:i/>
          <w:sz w:val="18"/>
          <w:szCs w:val="18"/>
          <w:lang w:val="en-AU"/>
        </w:rPr>
      </w:pPr>
      <w:r w:rsidRPr="00F46794">
        <w:rPr>
          <w:rFonts w:ascii="Century Gothic" w:hAnsi="Century Gothic"/>
          <w:b/>
          <w:i/>
          <w:sz w:val="18"/>
          <w:szCs w:val="18"/>
          <w:lang w:val="en-AU"/>
        </w:rPr>
        <w:t xml:space="preserve">2. </w:t>
      </w:r>
      <w:r w:rsidR="00F46794">
        <w:rPr>
          <w:rFonts w:ascii="Century Gothic" w:hAnsi="Century Gothic"/>
          <w:b/>
          <w:i/>
          <w:sz w:val="18"/>
          <w:szCs w:val="18"/>
          <w:lang w:val="en-AU"/>
        </w:rPr>
        <w:t xml:space="preserve">Accelerated </w:t>
      </w:r>
      <w:r w:rsidRPr="00F46794">
        <w:rPr>
          <w:rFonts w:ascii="Century Gothic" w:hAnsi="Century Gothic"/>
          <w:b/>
          <w:i/>
          <w:sz w:val="18"/>
          <w:szCs w:val="18"/>
          <w:lang w:val="en-AU"/>
        </w:rPr>
        <w:t>consolidation within certain industries</w:t>
      </w:r>
    </w:p>
    <w:p w:rsidR="00D43460" w:rsidRDefault="00F46794" w:rsidP="002D789D">
      <w:pPr>
        <w:rPr>
          <w:rFonts w:ascii="Century Gothic" w:hAnsi="Century Gothic"/>
          <w:sz w:val="18"/>
          <w:szCs w:val="18"/>
        </w:rPr>
      </w:pPr>
      <w:r>
        <w:rPr>
          <w:rFonts w:ascii="Century Gothic" w:hAnsi="Century Gothic"/>
          <w:sz w:val="18"/>
          <w:szCs w:val="18"/>
        </w:rPr>
        <w:t xml:space="preserve">We anticipate an increase in the rate of consolidation in several industries. </w:t>
      </w:r>
      <w:r w:rsidR="00D43460">
        <w:rPr>
          <w:rFonts w:ascii="Century Gothic" w:hAnsi="Century Gothic"/>
          <w:sz w:val="18"/>
          <w:szCs w:val="18"/>
        </w:rPr>
        <w:t>Some examples include:</w:t>
      </w:r>
    </w:p>
    <w:p w:rsidR="003C3DDE" w:rsidRDefault="00D43460" w:rsidP="003C3DDE">
      <w:pPr>
        <w:pStyle w:val="ListParagraph"/>
        <w:numPr>
          <w:ilvl w:val="0"/>
          <w:numId w:val="23"/>
        </w:numPr>
        <w:rPr>
          <w:rFonts w:ascii="Century Gothic" w:hAnsi="Century Gothic"/>
          <w:sz w:val="18"/>
          <w:szCs w:val="18"/>
        </w:rPr>
      </w:pPr>
      <w:r w:rsidRPr="003C3DDE">
        <w:rPr>
          <w:rFonts w:ascii="Century Gothic" w:hAnsi="Century Gothic"/>
          <w:sz w:val="18"/>
          <w:szCs w:val="18"/>
        </w:rPr>
        <w:t>Design services: the increase in crowd</w:t>
      </w:r>
      <w:r w:rsidR="003C3DDE" w:rsidRPr="003C3DDE">
        <w:rPr>
          <w:rFonts w:ascii="Century Gothic" w:hAnsi="Century Gothic"/>
          <w:sz w:val="18"/>
          <w:szCs w:val="18"/>
        </w:rPr>
        <w:t xml:space="preserve">sourcing and offshoring creates significant price pressures for </w:t>
      </w:r>
      <w:r w:rsidR="00433727">
        <w:rPr>
          <w:rFonts w:ascii="Century Gothic" w:hAnsi="Century Gothic"/>
          <w:sz w:val="18"/>
          <w:szCs w:val="18"/>
        </w:rPr>
        <w:t xml:space="preserve">Australian </w:t>
      </w:r>
      <w:r w:rsidR="003C3DDE" w:rsidRPr="003C3DDE">
        <w:rPr>
          <w:rFonts w:ascii="Century Gothic" w:hAnsi="Century Gothic"/>
          <w:sz w:val="18"/>
          <w:szCs w:val="18"/>
        </w:rPr>
        <w:t>design firms (such as web and graphic designers) that have relied on higher cost local labour. As a result, local design firms may reduce their workforce and consolidate in order to reduce overheads</w:t>
      </w:r>
      <w:r w:rsidR="00433727">
        <w:rPr>
          <w:rFonts w:ascii="Century Gothic" w:hAnsi="Century Gothic"/>
          <w:sz w:val="18"/>
          <w:szCs w:val="18"/>
        </w:rPr>
        <w:t xml:space="preserve"> and remain competitive</w:t>
      </w:r>
      <w:r w:rsidR="003C3DDE" w:rsidRPr="003C3DDE">
        <w:rPr>
          <w:rFonts w:ascii="Century Gothic" w:hAnsi="Century Gothic"/>
          <w:sz w:val="18"/>
          <w:szCs w:val="18"/>
        </w:rPr>
        <w:t>.</w:t>
      </w:r>
    </w:p>
    <w:p w:rsidR="003C3DDE" w:rsidRDefault="003C3DDE" w:rsidP="003C3DDE">
      <w:pPr>
        <w:pStyle w:val="ListParagraph"/>
        <w:numPr>
          <w:ilvl w:val="0"/>
          <w:numId w:val="23"/>
        </w:numPr>
        <w:rPr>
          <w:rFonts w:ascii="Century Gothic" w:hAnsi="Century Gothic"/>
          <w:sz w:val="18"/>
          <w:szCs w:val="18"/>
        </w:rPr>
      </w:pPr>
      <w:r>
        <w:rPr>
          <w:rFonts w:ascii="Century Gothic" w:hAnsi="Century Gothic"/>
          <w:sz w:val="18"/>
          <w:szCs w:val="18"/>
        </w:rPr>
        <w:t xml:space="preserve">Mining and engineering services: the significant decline in commodity prices </w:t>
      </w:r>
      <w:r w:rsidR="003C127E">
        <w:rPr>
          <w:rFonts w:ascii="Century Gothic" w:hAnsi="Century Gothic"/>
          <w:sz w:val="18"/>
          <w:szCs w:val="18"/>
        </w:rPr>
        <w:t xml:space="preserve">will force some firms to </w:t>
      </w:r>
      <w:r w:rsidR="004C1EA1">
        <w:rPr>
          <w:rFonts w:ascii="Century Gothic" w:hAnsi="Century Gothic"/>
          <w:sz w:val="18"/>
          <w:szCs w:val="18"/>
        </w:rPr>
        <w:t xml:space="preserve">shrink. Consolidation of </w:t>
      </w:r>
      <w:r w:rsidR="000B332A">
        <w:rPr>
          <w:rFonts w:ascii="Century Gothic" w:hAnsi="Century Gothic"/>
          <w:sz w:val="18"/>
          <w:szCs w:val="18"/>
        </w:rPr>
        <w:t>some</w:t>
      </w:r>
      <w:r w:rsidR="004C1EA1">
        <w:rPr>
          <w:rFonts w:ascii="Century Gothic" w:hAnsi="Century Gothic"/>
          <w:sz w:val="18"/>
          <w:szCs w:val="18"/>
        </w:rPr>
        <w:t xml:space="preserve"> firms will becom</w:t>
      </w:r>
      <w:r w:rsidR="006C03C5">
        <w:rPr>
          <w:rFonts w:ascii="Century Gothic" w:hAnsi="Century Gothic"/>
          <w:sz w:val="18"/>
          <w:szCs w:val="18"/>
        </w:rPr>
        <w:t xml:space="preserve">e a </w:t>
      </w:r>
      <w:r w:rsidR="000B332A">
        <w:rPr>
          <w:rFonts w:ascii="Century Gothic" w:hAnsi="Century Gothic"/>
          <w:sz w:val="18"/>
          <w:szCs w:val="18"/>
        </w:rPr>
        <w:t>survival</w:t>
      </w:r>
      <w:r w:rsidR="006C03C5">
        <w:rPr>
          <w:rFonts w:ascii="Century Gothic" w:hAnsi="Century Gothic"/>
          <w:sz w:val="18"/>
          <w:szCs w:val="18"/>
        </w:rPr>
        <w:t xml:space="preserve"> mechanism enabling firms to reduce overheads and complement their capabilities.</w:t>
      </w:r>
      <w:r w:rsidR="004C1EA1">
        <w:rPr>
          <w:rFonts w:ascii="Century Gothic" w:hAnsi="Century Gothic"/>
          <w:sz w:val="18"/>
          <w:szCs w:val="18"/>
        </w:rPr>
        <w:t xml:space="preserve"> </w:t>
      </w:r>
    </w:p>
    <w:p w:rsidR="00B648C6" w:rsidRDefault="00085D0F" w:rsidP="00085D0F">
      <w:pPr>
        <w:pStyle w:val="ListParagraph"/>
        <w:numPr>
          <w:ilvl w:val="0"/>
          <w:numId w:val="23"/>
        </w:numPr>
        <w:rPr>
          <w:rFonts w:ascii="Century Gothic" w:hAnsi="Century Gothic"/>
          <w:sz w:val="18"/>
          <w:szCs w:val="18"/>
        </w:rPr>
      </w:pPr>
      <w:r>
        <w:rPr>
          <w:rFonts w:ascii="Century Gothic" w:hAnsi="Century Gothic"/>
          <w:sz w:val="18"/>
          <w:szCs w:val="18"/>
        </w:rPr>
        <w:t xml:space="preserve">Accounting and financial planning firms: continuing consolidation is expected in this sector as firms look to become more efficient and acquire additional expertise to </w:t>
      </w:r>
      <w:r w:rsidRPr="00085D0F">
        <w:rPr>
          <w:rFonts w:ascii="Century Gothic" w:hAnsi="Century Gothic"/>
          <w:sz w:val="18"/>
          <w:szCs w:val="18"/>
        </w:rPr>
        <w:t>improve vertical integration.</w:t>
      </w:r>
    </w:p>
    <w:p w:rsidR="00D43460" w:rsidRDefault="00211B64" w:rsidP="00085D0F">
      <w:pPr>
        <w:pStyle w:val="ListParagraph"/>
        <w:numPr>
          <w:ilvl w:val="0"/>
          <w:numId w:val="23"/>
        </w:numPr>
        <w:rPr>
          <w:rFonts w:ascii="Century Gothic" w:hAnsi="Century Gothic"/>
          <w:sz w:val="18"/>
          <w:szCs w:val="18"/>
        </w:rPr>
      </w:pPr>
      <w:r>
        <w:rPr>
          <w:rFonts w:ascii="Century Gothic" w:hAnsi="Century Gothic"/>
          <w:sz w:val="18"/>
          <w:szCs w:val="18"/>
        </w:rPr>
        <w:t>Services to the 55+ demographic</w:t>
      </w:r>
      <w:r w:rsidR="00B648C6">
        <w:rPr>
          <w:rFonts w:ascii="Century Gothic" w:hAnsi="Century Gothic"/>
          <w:sz w:val="18"/>
          <w:szCs w:val="18"/>
        </w:rPr>
        <w:t xml:space="preserve">: </w:t>
      </w:r>
      <w:r>
        <w:rPr>
          <w:rFonts w:ascii="Century Gothic" w:hAnsi="Century Gothic"/>
          <w:sz w:val="18"/>
          <w:szCs w:val="18"/>
        </w:rPr>
        <w:t xml:space="preserve">demand for services ranging from health, </w:t>
      </w:r>
      <w:r w:rsidR="00EC276E">
        <w:rPr>
          <w:rFonts w:ascii="Century Gothic" w:hAnsi="Century Gothic"/>
          <w:sz w:val="18"/>
          <w:szCs w:val="18"/>
        </w:rPr>
        <w:t>leisure</w:t>
      </w:r>
      <w:r>
        <w:rPr>
          <w:rFonts w:ascii="Century Gothic" w:hAnsi="Century Gothic"/>
          <w:sz w:val="18"/>
          <w:szCs w:val="18"/>
        </w:rPr>
        <w:t xml:space="preserve"> and retirement will continue as the</w:t>
      </w:r>
      <w:r w:rsidR="00B648C6">
        <w:rPr>
          <w:rFonts w:ascii="Century Gothic" w:hAnsi="Century Gothic"/>
          <w:sz w:val="18"/>
          <w:szCs w:val="18"/>
        </w:rPr>
        <w:t xml:space="preserve"> </w:t>
      </w:r>
      <w:r>
        <w:rPr>
          <w:rFonts w:ascii="Century Gothic" w:hAnsi="Century Gothic"/>
          <w:sz w:val="18"/>
          <w:szCs w:val="18"/>
        </w:rPr>
        <w:t>baby boomers continue to swell the retiree numbers.</w:t>
      </w:r>
    </w:p>
    <w:p w:rsidR="006A5DC5" w:rsidRDefault="006A5DC5" w:rsidP="002D789D">
      <w:pPr>
        <w:rPr>
          <w:rFonts w:ascii="Century Gothic" w:hAnsi="Century Gothic"/>
          <w:sz w:val="18"/>
          <w:szCs w:val="18"/>
          <w:lang w:val="en-AU"/>
        </w:rPr>
      </w:pPr>
    </w:p>
    <w:p w:rsidR="00984F95" w:rsidRPr="00984F95" w:rsidRDefault="00984F95" w:rsidP="00984F95">
      <w:pPr>
        <w:rPr>
          <w:rFonts w:ascii="Century Gothic" w:hAnsi="Century Gothic"/>
          <w:b/>
          <w:i/>
          <w:sz w:val="18"/>
          <w:szCs w:val="18"/>
          <w:lang w:val="en-AU"/>
        </w:rPr>
      </w:pPr>
      <w:r w:rsidRPr="00984F95">
        <w:rPr>
          <w:rFonts w:ascii="Century Gothic" w:hAnsi="Century Gothic"/>
          <w:b/>
          <w:i/>
          <w:sz w:val="18"/>
          <w:szCs w:val="18"/>
          <w:lang w:val="en-AU"/>
        </w:rPr>
        <w:t>3. Improving prospects for previously distressed industries</w:t>
      </w:r>
    </w:p>
    <w:p w:rsidR="00984F95" w:rsidRDefault="00984F95" w:rsidP="00984F95">
      <w:pPr>
        <w:rPr>
          <w:rFonts w:ascii="Century Gothic" w:hAnsi="Century Gothic"/>
          <w:sz w:val="18"/>
          <w:szCs w:val="18"/>
          <w:lang w:val="en-AU"/>
        </w:rPr>
      </w:pPr>
      <w:r>
        <w:rPr>
          <w:rFonts w:ascii="Century Gothic" w:hAnsi="Century Gothic"/>
          <w:sz w:val="18"/>
          <w:szCs w:val="18"/>
          <w:lang w:val="en-AU"/>
        </w:rPr>
        <w:t xml:space="preserve">The devaluation of the Australian dollar may improve the prospects for sectors such as manufacturing </w:t>
      </w:r>
      <w:r w:rsidR="00433727">
        <w:rPr>
          <w:rFonts w:ascii="Century Gothic" w:hAnsi="Century Gothic"/>
          <w:sz w:val="18"/>
          <w:szCs w:val="18"/>
          <w:lang w:val="en-AU"/>
        </w:rPr>
        <w:t xml:space="preserve">where some SMEs </w:t>
      </w:r>
      <w:r>
        <w:rPr>
          <w:rFonts w:ascii="Century Gothic" w:hAnsi="Century Gothic"/>
          <w:sz w:val="18"/>
          <w:szCs w:val="18"/>
          <w:lang w:val="en-AU"/>
        </w:rPr>
        <w:t xml:space="preserve">were previously </w:t>
      </w:r>
      <w:r w:rsidR="00433727">
        <w:rPr>
          <w:rFonts w:ascii="Century Gothic" w:hAnsi="Century Gothic"/>
          <w:sz w:val="18"/>
          <w:szCs w:val="18"/>
          <w:lang w:val="en-AU"/>
        </w:rPr>
        <w:t xml:space="preserve">uncompetitive </w:t>
      </w:r>
      <w:r>
        <w:rPr>
          <w:rFonts w:ascii="Century Gothic" w:hAnsi="Century Gothic"/>
          <w:sz w:val="18"/>
          <w:szCs w:val="18"/>
          <w:lang w:val="en-AU"/>
        </w:rPr>
        <w:t xml:space="preserve">due to high labour costs. With a 14% decrease in labour cost </w:t>
      </w:r>
      <w:r w:rsidR="00433727">
        <w:rPr>
          <w:rFonts w:ascii="Century Gothic" w:hAnsi="Century Gothic"/>
          <w:sz w:val="18"/>
          <w:szCs w:val="18"/>
          <w:lang w:val="en-AU"/>
        </w:rPr>
        <w:t xml:space="preserve">in AUD terms </w:t>
      </w:r>
      <w:r>
        <w:rPr>
          <w:rFonts w:ascii="Century Gothic" w:hAnsi="Century Gothic"/>
          <w:sz w:val="18"/>
          <w:szCs w:val="18"/>
          <w:lang w:val="en-AU"/>
        </w:rPr>
        <w:t xml:space="preserve">since the start of the financial year, local manufacturers may become more price competitive </w:t>
      </w:r>
      <w:r w:rsidR="003F0B87">
        <w:rPr>
          <w:rFonts w:ascii="Century Gothic" w:hAnsi="Century Gothic"/>
          <w:sz w:val="18"/>
          <w:szCs w:val="18"/>
          <w:lang w:val="en-AU"/>
        </w:rPr>
        <w:t>with Asian manufacturers.</w:t>
      </w:r>
    </w:p>
    <w:p w:rsidR="003F0B87" w:rsidRDefault="003F0B87" w:rsidP="00984F95">
      <w:pPr>
        <w:rPr>
          <w:rFonts w:ascii="Century Gothic" w:hAnsi="Century Gothic"/>
          <w:sz w:val="18"/>
          <w:szCs w:val="18"/>
          <w:lang w:val="en-AU"/>
        </w:rPr>
      </w:pPr>
    </w:p>
    <w:p w:rsidR="003F0B87" w:rsidRDefault="003F0B87" w:rsidP="00984F95">
      <w:pPr>
        <w:rPr>
          <w:rFonts w:ascii="Century Gothic" w:hAnsi="Century Gothic"/>
          <w:sz w:val="18"/>
          <w:szCs w:val="18"/>
          <w:lang w:val="en-AU"/>
        </w:rPr>
      </w:pPr>
      <w:r>
        <w:rPr>
          <w:rFonts w:ascii="Century Gothic" w:hAnsi="Century Gothic"/>
          <w:sz w:val="18"/>
          <w:szCs w:val="18"/>
          <w:lang w:val="en-AU"/>
        </w:rPr>
        <w:t xml:space="preserve">Similarly, </w:t>
      </w:r>
      <w:r w:rsidR="004311BB">
        <w:rPr>
          <w:rFonts w:ascii="Century Gothic" w:hAnsi="Century Gothic"/>
          <w:sz w:val="18"/>
          <w:szCs w:val="18"/>
          <w:lang w:val="en-AU"/>
        </w:rPr>
        <w:t xml:space="preserve">with the reduction </w:t>
      </w:r>
      <w:r w:rsidR="00032EBF">
        <w:rPr>
          <w:rFonts w:ascii="Century Gothic" w:hAnsi="Century Gothic"/>
          <w:sz w:val="18"/>
          <w:szCs w:val="18"/>
          <w:lang w:val="en-AU"/>
        </w:rPr>
        <w:t>in cost of fuel, transportation businesses are likely to see a significant improvement in their gross profit margins.</w:t>
      </w:r>
    </w:p>
    <w:p w:rsidR="00032EBF" w:rsidRDefault="00032EBF" w:rsidP="00984F95">
      <w:pPr>
        <w:rPr>
          <w:rFonts w:ascii="Century Gothic" w:hAnsi="Century Gothic"/>
          <w:sz w:val="18"/>
          <w:szCs w:val="18"/>
          <w:lang w:val="en-AU"/>
        </w:rPr>
      </w:pPr>
    </w:p>
    <w:tbl>
      <w:tblPr>
        <w:tblStyle w:val="TableGrid"/>
        <w:tblW w:w="0" w:type="auto"/>
        <w:shd w:val="clear" w:color="auto" w:fill="C6D9F1" w:themeFill="text2" w:themeFillTint="33"/>
        <w:tblLook w:val="04A0" w:firstRow="1" w:lastRow="0" w:firstColumn="1" w:lastColumn="0" w:noHBand="0" w:noVBand="1"/>
      </w:tblPr>
      <w:tblGrid>
        <w:gridCol w:w="10478"/>
      </w:tblGrid>
      <w:tr w:rsidR="00032EBF" w:rsidTr="00561298">
        <w:tc>
          <w:tcPr>
            <w:tcW w:w="10478" w:type="dxa"/>
            <w:shd w:val="clear" w:color="auto" w:fill="C6D9F1" w:themeFill="text2" w:themeFillTint="33"/>
          </w:tcPr>
          <w:p w:rsidR="00032EBF" w:rsidRPr="009A034E" w:rsidRDefault="00032EBF" w:rsidP="00032EBF">
            <w:pPr>
              <w:pStyle w:val="ListParagraph"/>
              <w:numPr>
                <w:ilvl w:val="0"/>
                <w:numId w:val="22"/>
              </w:numPr>
              <w:rPr>
                <w:rFonts w:ascii="Century Gothic" w:hAnsi="Century Gothic"/>
                <w:sz w:val="18"/>
                <w:szCs w:val="18"/>
              </w:rPr>
            </w:pPr>
            <w:r>
              <w:rPr>
                <w:rFonts w:ascii="Century Gothic" w:hAnsi="Century Gothic"/>
                <w:sz w:val="18"/>
                <w:szCs w:val="18"/>
              </w:rPr>
              <w:t xml:space="preserve">Scancorp has analysed the impact on the lower fuel costs for a truck transportation client. Over the past 40 weeks, the cost of retail diesel fuel has reduced by 15%. For a particular scope of </w:t>
            </w:r>
            <w:r w:rsidR="00D23378">
              <w:rPr>
                <w:rFonts w:ascii="Century Gothic" w:hAnsi="Century Gothic"/>
                <w:sz w:val="18"/>
                <w:szCs w:val="18"/>
              </w:rPr>
              <w:t xml:space="preserve">our client’s </w:t>
            </w:r>
            <w:r>
              <w:rPr>
                <w:rFonts w:ascii="Century Gothic" w:hAnsi="Century Gothic"/>
                <w:sz w:val="18"/>
                <w:szCs w:val="18"/>
              </w:rPr>
              <w:t xml:space="preserve">work, fuel costs represented 40% of GP. The impact in the reduced fuel costs was an improvement of 25% at the EBITDA level.  </w:t>
            </w:r>
          </w:p>
        </w:tc>
      </w:tr>
    </w:tbl>
    <w:p w:rsidR="00032EBF" w:rsidRDefault="00032EBF" w:rsidP="00984F95">
      <w:pPr>
        <w:rPr>
          <w:rFonts w:ascii="Century Gothic" w:hAnsi="Century Gothic"/>
          <w:sz w:val="18"/>
          <w:szCs w:val="18"/>
          <w:lang w:val="en-AU"/>
        </w:rPr>
      </w:pPr>
    </w:p>
    <w:p w:rsidR="006161BC" w:rsidRDefault="006161BC">
      <w:pPr>
        <w:rPr>
          <w:rFonts w:ascii="Century Gothic" w:hAnsi="Century Gothic"/>
          <w:b/>
          <w:i/>
          <w:sz w:val="18"/>
          <w:szCs w:val="18"/>
          <w:lang w:val="en-AU"/>
        </w:rPr>
      </w:pPr>
      <w:r>
        <w:rPr>
          <w:rFonts w:ascii="Century Gothic" w:hAnsi="Century Gothic"/>
          <w:b/>
          <w:i/>
          <w:sz w:val="18"/>
          <w:szCs w:val="18"/>
          <w:lang w:val="en-AU"/>
        </w:rPr>
        <w:br w:type="page"/>
      </w:r>
    </w:p>
    <w:p w:rsidR="00246187" w:rsidRPr="00984F95" w:rsidRDefault="009E36C5" w:rsidP="002D789D">
      <w:pPr>
        <w:rPr>
          <w:rFonts w:ascii="Century Gothic" w:hAnsi="Century Gothic"/>
          <w:b/>
          <w:i/>
          <w:sz w:val="18"/>
          <w:szCs w:val="18"/>
          <w:lang w:val="en-AU"/>
        </w:rPr>
      </w:pPr>
      <w:r>
        <w:rPr>
          <w:rFonts w:ascii="Century Gothic" w:hAnsi="Century Gothic"/>
          <w:b/>
          <w:i/>
          <w:sz w:val="18"/>
          <w:szCs w:val="18"/>
          <w:lang w:val="en-AU"/>
        </w:rPr>
        <w:lastRenderedPageBreak/>
        <w:t>4</w:t>
      </w:r>
      <w:r w:rsidR="00246187" w:rsidRPr="00984F95">
        <w:rPr>
          <w:rFonts w:ascii="Century Gothic" w:hAnsi="Century Gothic"/>
          <w:b/>
          <w:i/>
          <w:sz w:val="18"/>
          <w:szCs w:val="18"/>
          <w:lang w:val="en-AU"/>
        </w:rPr>
        <w:t xml:space="preserve">. Increased demand </w:t>
      </w:r>
      <w:r w:rsidR="00984F95" w:rsidRPr="00984F95">
        <w:rPr>
          <w:rFonts w:ascii="Century Gothic" w:hAnsi="Century Gothic"/>
          <w:b/>
          <w:i/>
          <w:sz w:val="18"/>
          <w:szCs w:val="18"/>
          <w:lang w:val="en-AU"/>
        </w:rPr>
        <w:t xml:space="preserve">for SME assets </w:t>
      </w:r>
      <w:r w:rsidR="00246187" w:rsidRPr="00984F95">
        <w:rPr>
          <w:rFonts w:ascii="Century Gothic" w:hAnsi="Century Gothic"/>
          <w:b/>
          <w:i/>
          <w:sz w:val="18"/>
          <w:szCs w:val="18"/>
          <w:lang w:val="en-AU"/>
        </w:rPr>
        <w:t>from international buyers</w:t>
      </w:r>
    </w:p>
    <w:p w:rsidR="00F15445" w:rsidRDefault="00427CA4" w:rsidP="002D789D">
      <w:pPr>
        <w:rPr>
          <w:rFonts w:ascii="Century Gothic" w:hAnsi="Century Gothic"/>
          <w:sz w:val="18"/>
          <w:szCs w:val="18"/>
        </w:rPr>
      </w:pPr>
      <w:r>
        <w:rPr>
          <w:rFonts w:ascii="Century Gothic" w:hAnsi="Century Gothic"/>
          <w:sz w:val="18"/>
          <w:szCs w:val="18"/>
        </w:rPr>
        <w:t xml:space="preserve">With the fall of the Australian dollar, Australian assets have become cheaper for international buyers. </w:t>
      </w:r>
      <w:r w:rsidR="00F15445">
        <w:rPr>
          <w:rFonts w:ascii="Century Gothic" w:hAnsi="Century Gothic"/>
          <w:sz w:val="18"/>
          <w:szCs w:val="18"/>
        </w:rPr>
        <w:t>Additionally, we expect recent federal initiatives will support an increase in interest from Asian buyers:</w:t>
      </w:r>
    </w:p>
    <w:p w:rsidR="00F15445" w:rsidRPr="00F15445" w:rsidRDefault="00F15445" w:rsidP="00F15445">
      <w:pPr>
        <w:pStyle w:val="ListParagraph"/>
        <w:numPr>
          <w:ilvl w:val="0"/>
          <w:numId w:val="24"/>
        </w:numPr>
        <w:rPr>
          <w:rFonts w:ascii="Century Gothic" w:hAnsi="Century Gothic"/>
          <w:sz w:val="18"/>
          <w:szCs w:val="18"/>
        </w:rPr>
      </w:pPr>
      <w:r w:rsidRPr="00F15445">
        <w:rPr>
          <w:rFonts w:ascii="Century Gothic" w:hAnsi="Century Gothic"/>
          <w:sz w:val="18"/>
          <w:szCs w:val="18"/>
        </w:rPr>
        <w:t>Maturation of the Significant Investor Visa process</w:t>
      </w:r>
      <w:r w:rsidR="004F4664">
        <w:rPr>
          <w:rFonts w:ascii="Century Gothic" w:hAnsi="Century Gothic"/>
          <w:sz w:val="18"/>
          <w:szCs w:val="18"/>
        </w:rPr>
        <w:t>:</w:t>
      </w:r>
      <w:r w:rsidRPr="00F15445">
        <w:rPr>
          <w:rFonts w:ascii="Century Gothic" w:hAnsi="Century Gothic"/>
          <w:sz w:val="18"/>
          <w:szCs w:val="18"/>
        </w:rPr>
        <w:t xml:space="preserve"> as the </w:t>
      </w:r>
      <w:r w:rsidR="00920A53">
        <w:rPr>
          <w:rFonts w:ascii="Century Gothic" w:hAnsi="Century Gothic"/>
          <w:sz w:val="18"/>
          <w:szCs w:val="18"/>
        </w:rPr>
        <w:t xml:space="preserve">four year provisional </w:t>
      </w:r>
      <w:r w:rsidR="00920A53" w:rsidRPr="00920A53">
        <w:rPr>
          <w:rFonts w:ascii="Century Gothic" w:hAnsi="Century Gothic"/>
          <w:sz w:val="18"/>
          <w:szCs w:val="18"/>
          <w:lang w:val="en-US"/>
        </w:rPr>
        <w:t>Subclass 188 visa</w:t>
      </w:r>
      <w:r w:rsidRPr="00F15445">
        <w:rPr>
          <w:rFonts w:ascii="Century Gothic" w:hAnsi="Century Gothic"/>
          <w:sz w:val="18"/>
          <w:szCs w:val="18"/>
        </w:rPr>
        <w:t xml:space="preserve"> </w:t>
      </w:r>
      <w:r w:rsidR="00920A53">
        <w:rPr>
          <w:rFonts w:ascii="Century Gothic" w:hAnsi="Century Gothic"/>
          <w:sz w:val="18"/>
          <w:szCs w:val="18"/>
        </w:rPr>
        <w:t xml:space="preserve">gains momentum, Asian investors are likely to slowly diversify their mandatory $5 million investment into </w:t>
      </w:r>
      <w:r w:rsidR="004F4664">
        <w:rPr>
          <w:rFonts w:ascii="Century Gothic" w:hAnsi="Century Gothic"/>
          <w:sz w:val="18"/>
          <w:szCs w:val="18"/>
        </w:rPr>
        <w:t xml:space="preserve">other </w:t>
      </w:r>
      <w:r w:rsidR="00920A53">
        <w:rPr>
          <w:rFonts w:ascii="Century Gothic" w:hAnsi="Century Gothic"/>
          <w:sz w:val="18"/>
          <w:szCs w:val="18"/>
        </w:rPr>
        <w:t>“complying assets”</w:t>
      </w:r>
      <w:r w:rsidR="004F4664">
        <w:rPr>
          <w:rFonts w:ascii="Century Gothic" w:hAnsi="Century Gothic"/>
          <w:sz w:val="18"/>
          <w:szCs w:val="18"/>
        </w:rPr>
        <w:t xml:space="preserve">. This will </w:t>
      </w:r>
      <w:r w:rsidR="00920A53">
        <w:rPr>
          <w:rFonts w:ascii="Century Gothic" w:hAnsi="Century Gothic"/>
          <w:sz w:val="18"/>
          <w:szCs w:val="18"/>
        </w:rPr>
        <w:t>include Australian private businesses (currently lower yielding government bonds are a favoured investment).</w:t>
      </w:r>
    </w:p>
    <w:p w:rsidR="00F15445" w:rsidRPr="00F15445" w:rsidRDefault="00F15445" w:rsidP="00F15445">
      <w:pPr>
        <w:pStyle w:val="ListParagraph"/>
        <w:numPr>
          <w:ilvl w:val="0"/>
          <w:numId w:val="24"/>
        </w:numPr>
        <w:rPr>
          <w:rFonts w:ascii="Century Gothic" w:hAnsi="Century Gothic"/>
          <w:sz w:val="18"/>
          <w:szCs w:val="18"/>
        </w:rPr>
      </w:pPr>
      <w:r w:rsidRPr="00F15445">
        <w:rPr>
          <w:rFonts w:ascii="Century Gothic" w:hAnsi="Century Gothic"/>
          <w:sz w:val="18"/>
          <w:szCs w:val="18"/>
        </w:rPr>
        <w:t>Recent trade agreements</w:t>
      </w:r>
      <w:r w:rsidR="004F4664">
        <w:rPr>
          <w:rFonts w:ascii="Century Gothic" w:hAnsi="Century Gothic"/>
          <w:sz w:val="18"/>
          <w:szCs w:val="18"/>
        </w:rPr>
        <w:t>:</w:t>
      </w:r>
      <w:r w:rsidRPr="00F15445">
        <w:rPr>
          <w:rFonts w:ascii="Century Gothic" w:hAnsi="Century Gothic"/>
          <w:sz w:val="18"/>
          <w:szCs w:val="18"/>
        </w:rPr>
        <w:t xml:space="preserve"> while the agreements with Japan, China and Korea may not directly impact SMEs, these agreements have generated a greater awareness of Australia</w:t>
      </w:r>
      <w:r w:rsidR="004F4664">
        <w:rPr>
          <w:rFonts w:ascii="Century Gothic" w:hAnsi="Century Gothic"/>
          <w:sz w:val="18"/>
          <w:szCs w:val="18"/>
        </w:rPr>
        <w:t xml:space="preserve"> as a business desti</w:t>
      </w:r>
      <w:r w:rsidRPr="00F15445">
        <w:rPr>
          <w:rFonts w:ascii="Century Gothic" w:hAnsi="Century Gothic"/>
          <w:sz w:val="18"/>
          <w:szCs w:val="18"/>
        </w:rPr>
        <w:t>n</w:t>
      </w:r>
      <w:r w:rsidR="004F4664">
        <w:rPr>
          <w:rFonts w:ascii="Century Gothic" w:hAnsi="Century Gothic"/>
          <w:sz w:val="18"/>
          <w:szCs w:val="18"/>
        </w:rPr>
        <w:t>ation. This may ultimately make Australian SMEs more attractive investments to Asian buyers</w:t>
      </w:r>
      <w:r w:rsidRPr="00F15445">
        <w:rPr>
          <w:rFonts w:ascii="Century Gothic" w:hAnsi="Century Gothic"/>
          <w:sz w:val="18"/>
          <w:szCs w:val="18"/>
        </w:rPr>
        <w:t xml:space="preserve">. </w:t>
      </w:r>
    </w:p>
    <w:p w:rsidR="00F15445" w:rsidRDefault="00F15445" w:rsidP="002D789D">
      <w:pPr>
        <w:rPr>
          <w:rFonts w:ascii="Century Gothic" w:hAnsi="Century Gothic"/>
          <w:sz w:val="18"/>
          <w:szCs w:val="18"/>
        </w:rPr>
      </w:pPr>
    </w:p>
    <w:p w:rsidR="00246187" w:rsidRPr="00FA1C5D" w:rsidRDefault="009E36C5" w:rsidP="002D789D">
      <w:pPr>
        <w:rPr>
          <w:rFonts w:ascii="Century Gothic" w:hAnsi="Century Gothic"/>
          <w:b/>
          <w:i/>
          <w:sz w:val="18"/>
          <w:szCs w:val="18"/>
          <w:lang w:val="en-AU"/>
        </w:rPr>
      </w:pPr>
      <w:r>
        <w:rPr>
          <w:rFonts w:ascii="Century Gothic" w:hAnsi="Century Gothic"/>
          <w:b/>
          <w:i/>
          <w:sz w:val="18"/>
          <w:szCs w:val="18"/>
          <w:lang w:val="en-AU"/>
        </w:rPr>
        <w:t>5</w:t>
      </w:r>
      <w:r w:rsidR="00246187" w:rsidRPr="00FA1C5D">
        <w:rPr>
          <w:rFonts w:ascii="Century Gothic" w:hAnsi="Century Gothic"/>
          <w:b/>
          <w:i/>
          <w:sz w:val="18"/>
          <w:szCs w:val="18"/>
          <w:lang w:val="en-AU"/>
        </w:rPr>
        <w:t>. Revitalised interest in franchises</w:t>
      </w:r>
    </w:p>
    <w:p w:rsidR="00FA1C5D" w:rsidRDefault="00FA1C5D" w:rsidP="002D789D">
      <w:pPr>
        <w:rPr>
          <w:rFonts w:ascii="Century Gothic" w:hAnsi="Century Gothic"/>
          <w:sz w:val="18"/>
          <w:szCs w:val="18"/>
          <w:lang w:val="en-AU"/>
        </w:rPr>
      </w:pPr>
      <w:r>
        <w:rPr>
          <w:rFonts w:ascii="Century Gothic" w:hAnsi="Century Gothic"/>
          <w:sz w:val="18"/>
          <w:szCs w:val="18"/>
          <w:lang w:val="en-AU"/>
        </w:rPr>
        <w:t xml:space="preserve">Despite highly publicised </w:t>
      </w:r>
      <w:r w:rsidR="004F17DB">
        <w:rPr>
          <w:rFonts w:ascii="Century Gothic" w:hAnsi="Century Gothic"/>
          <w:sz w:val="18"/>
          <w:szCs w:val="18"/>
          <w:lang w:val="en-AU"/>
        </w:rPr>
        <w:t>franchise system failures and disputes between franchise</w:t>
      </w:r>
      <w:r w:rsidR="004F4664">
        <w:rPr>
          <w:rFonts w:ascii="Century Gothic" w:hAnsi="Century Gothic"/>
          <w:sz w:val="18"/>
          <w:szCs w:val="18"/>
          <w:lang w:val="en-AU"/>
        </w:rPr>
        <w:t>e</w:t>
      </w:r>
      <w:r w:rsidR="004F17DB">
        <w:rPr>
          <w:rFonts w:ascii="Century Gothic" w:hAnsi="Century Gothic"/>
          <w:sz w:val="18"/>
          <w:szCs w:val="18"/>
          <w:lang w:val="en-AU"/>
        </w:rPr>
        <w:t xml:space="preserve">s and franchisors, the demand for franchises may increase in 2015. We see two key factors </w:t>
      </w:r>
      <w:r w:rsidR="004F4664">
        <w:rPr>
          <w:rFonts w:ascii="Century Gothic" w:hAnsi="Century Gothic"/>
          <w:sz w:val="18"/>
          <w:szCs w:val="18"/>
          <w:lang w:val="en-AU"/>
        </w:rPr>
        <w:t xml:space="preserve">which </w:t>
      </w:r>
      <w:r w:rsidR="00BB0599">
        <w:rPr>
          <w:rFonts w:ascii="Century Gothic" w:hAnsi="Century Gothic"/>
          <w:sz w:val="18"/>
          <w:szCs w:val="18"/>
          <w:lang w:val="en-AU"/>
        </w:rPr>
        <w:t>may enhance the attractiveness of franchises:</w:t>
      </w:r>
    </w:p>
    <w:p w:rsidR="00BB0599" w:rsidRPr="00982FC3" w:rsidRDefault="00652BAC" w:rsidP="00982FC3">
      <w:pPr>
        <w:pStyle w:val="ListParagraph"/>
        <w:numPr>
          <w:ilvl w:val="0"/>
          <w:numId w:val="25"/>
        </w:numPr>
        <w:rPr>
          <w:rFonts w:ascii="Century Gothic" w:hAnsi="Century Gothic"/>
          <w:sz w:val="18"/>
          <w:szCs w:val="18"/>
        </w:rPr>
      </w:pPr>
      <w:r w:rsidRPr="00982FC3">
        <w:rPr>
          <w:rFonts w:ascii="Century Gothic" w:hAnsi="Century Gothic"/>
          <w:sz w:val="18"/>
          <w:szCs w:val="18"/>
        </w:rPr>
        <w:t>Ongoing “white collar”</w:t>
      </w:r>
      <w:r w:rsidR="00BB0599" w:rsidRPr="00982FC3">
        <w:rPr>
          <w:rFonts w:ascii="Century Gothic" w:hAnsi="Century Gothic"/>
          <w:sz w:val="18"/>
          <w:szCs w:val="18"/>
        </w:rPr>
        <w:t xml:space="preserve"> redundancies: </w:t>
      </w:r>
      <w:r w:rsidR="00561298" w:rsidRPr="00982FC3">
        <w:rPr>
          <w:rFonts w:ascii="Century Gothic" w:hAnsi="Century Gothic"/>
          <w:sz w:val="18"/>
          <w:szCs w:val="18"/>
        </w:rPr>
        <w:t xml:space="preserve">in a note to clients, Deutsche Bank highlighted the extent to </w:t>
      </w:r>
      <w:r w:rsidR="004F4664">
        <w:rPr>
          <w:rFonts w:ascii="Century Gothic" w:hAnsi="Century Gothic"/>
          <w:sz w:val="18"/>
          <w:szCs w:val="18"/>
        </w:rPr>
        <w:t xml:space="preserve">which </w:t>
      </w:r>
      <w:r w:rsidR="00561298" w:rsidRPr="00982FC3">
        <w:rPr>
          <w:rFonts w:ascii="Century Gothic" w:hAnsi="Century Gothic"/>
          <w:sz w:val="18"/>
          <w:szCs w:val="18"/>
        </w:rPr>
        <w:t xml:space="preserve">cost savings have been used to sustain corporate earnings (6% EPS growth on 3% sales growth in FY14). Much of the redundancies pursued by large listed firms are in “white collar” roles. Staff that are made redundant may opt to acquire a business as a way to maintain greater control over their career and </w:t>
      </w:r>
      <w:r w:rsidR="00676241" w:rsidRPr="00982FC3">
        <w:rPr>
          <w:rFonts w:ascii="Century Gothic" w:hAnsi="Century Gothic"/>
          <w:sz w:val="18"/>
          <w:szCs w:val="18"/>
        </w:rPr>
        <w:t xml:space="preserve">their </w:t>
      </w:r>
      <w:r w:rsidR="00561298" w:rsidRPr="00982FC3">
        <w:rPr>
          <w:rFonts w:ascii="Century Gothic" w:hAnsi="Century Gothic"/>
          <w:sz w:val="18"/>
          <w:szCs w:val="18"/>
        </w:rPr>
        <w:t>work life balanc</w:t>
      </w:r>
      <w:r w:rsidR="00211B64">
        <w:rPr>
          <w:rFonts w:ascii="Century Gothic" w:hAnsi="Century Gothic"/>
          <w:sz w:val="18"/>
          <w:szCs w:val="18"/>
        </w:rPr>
        <w:t>e</w:t>
      </w:r>
      <w:r w:rsidR="00561298" w:rsidRPr="00982FC3">
        <w:rPr>
          <w:rFonts w:ascii="Century Gothic" w:hAnsi="Century Gothic"/>
          <w:sz w:val="18"/>
          <w:szCs w:val="18"/>
        </w:rPr>
        <w:t xml:space="preserve">. </w:t>
      </w:r>
      <w:r w:rsidRPr="00982FC3">
        <w:rPr>
          <w:rFonts w:ascii="Century Gothic" w:hAnsi="Century Gothic"/>
          <w:sz w:val="18"/>
          <w:szCs w:val="18"/>
        </w:rPr>
        <w:t xml:space="preserve">Having been previously employed, most of these redundant professionals will have limited if any experience in running a small business. As such we anticipate demand for franchises will increase as they seek </w:t>
      </w:r>
      <w:r w:rsidR="004F4664">
        <w:rPr>
          <w:rFonts w:ascii="Century Gothic" w:hAnsi="Century Gothic"/>
          <w:sz w:val="18"/>
          <w:szCs w:val="18"/>
        </w:rPr>
        <w:t xml:space="preserve">to own </w:t>
      </w:r>
      <w:r w:rsidRPr="00982FC3">
        <w:rPr>
          <w:rFonts w:ascii="Century Gothic" w:hAnsi="Century Gothic"/>
          <w:sz w:val="18"/>
          <w:szCs w:val="18"/>
        </w:rPr>
        <w:t>a small business that is provided some level of support from the franchisor.</w:t>
      </w:r>
    </w:p>
    <w:p w:rsidR="00937768" w:rsidRDefault="00790A65" w:rsidP="00982FC3">
      <w:pPr>
        <w:pStyle w:val="ListParagraph"/>
        <w:numPr>
          <w:ilvl w:val="0"/>
          <w:numId w:val="25"/>
        </w:numPr>
        <w:rPr>
          <w:rFonts w:ascii="Century Gothic" w:hAnsi="Century Gothic"/>
          <w:sz w:val="18"/>
          <w:szCs w:val="18"/>
        </w:rPr>
      </w:pPr>
      <w:r w:rsidRPr="00982FC3">
        <w:rPr>
          <w:rFonts w:ascii="Century Gothic" w:hAnsi="Century Gothic"/>
          <w:sz w:val="18"/>
          <w:szCs w:val="18"/>
        </w:rPr>
        <w:t xml:space="preserve">Interest from </w:t>
      </w:r>
      <w:r w:rsidR="00937768" w:rsidRPr="00982FC3">
        <w:rPr>
          <w:rFonts w:ascii="Century Gothic" w:hAnsi="Century Gothic"/>
          <w:sz w:val="18"/>
          <w:szCs w:val="18"/>
        </w:rPr>
        <w:t>Asian</w:t>
      </w:r>
      <w:r w:rsidRPr="00982FC3">
        <w:rPr>
          <w:rFonts w:ascii="Century Gothic" w:hAnsi="Century Gothic"/>
          <w:sz w:val="18"/>
          <w:szCs w:val="18"/>
        </w:rPr>
        <w:t xml:space="preserve"> buyers: </w:t>
      </w:r>
      <w:r w:rsidR="00937768" w:rsidRPr="00982FC3">
        <w:rPr>
          <w:rFonts w:ascii="Century Gothic" w:hAnsi="Century Gothic"/>
          <w:sz w:val="18"/>
          <w:szCs w:val="18"/>
        </w:rPr>
        <w:t xml:space="preserve">Chinese investors in particular have an interest in Australian franchises. They are seen as more secure businesses that are easier to run. They offer an opportunity for the investor to invest in Australia, potentially obtain a visa </w:t>
      </w:r>
      <w:r w:rsidR="000440D7" w:rsidRPr="00982FC3">
        <w:rPr>
          <w:rFonts w:ascii="Century Gothic" w:hAnsi="Century Gothic"/>
          <w:sz w:val="18"/>
          <w:szCs w:val="18"/>
        </w:rPr>
        <w:t xml:space="preserve">such as Business Owner (subclass 890) visa and present employment opportunities for any </w:t>
      </w:r>
      <w:r w:rsidR="00982FC3">
        <w:rPr>
          <w:rFonts w:ascii="Century Gothic" w:hAnsi="Century Gothic"/>
          <w:sz w:val="18"/>
          <w:szCs w:val="18"/>
        </w:rPr>
        <w:t>family members who may be staying in Australia (such as children who are studying).</w:t>
      </w:r>
    </w:p>
    <w:p w:rsidR="00982FC3" w:rsidRPr="00982FC3" w:rsidRDefault="00982FC3" w:rsidP="00982FC3">
      <w:pPr>
        <w:rPr>
          <w:rFonts w:ascii="Century Gothic" w:hAnsi="Century Gothic"/>
          <w:sz w:val="18"/>
          <w:szCs w:val="18"/>
        </w:rPr>
      </w:pPr>
    </w:p>
    <w:tbl>
      <w:tblPr>
        <w:tblStyle w:val="TableGrid"/>
        <w:tblW w:w="0" w:type="auto"/>
        <w:shd w:val="clear" w:color="auto" w:fill="C6D9F1" w:themeFill="text2" w:themeFillTint="33"/>
        <w:tblLook w:val="04A0" w:firstRow="1" w:lastRow="0" w:firstColumn="1" w:lastColumn="0" w:noHBand="0" w:noVBand="1"/>
      </w:tblPr>
      <w:tblGrid>
        <w:gridCol w:w="10478"/>
      </w:tblGrid>
      <w:tr w:rsidR="00982FC3" w:rsidTr="00F47D42">
        <w:tc>
          <w:tcPr>
            <w:tcW w:w="10478" w:type="dxa"/>
            <w:shd w:val="clear" w:color="auto" w:fill="C6D9F1" w:themeFill="text2" w:themeFillTint="33"/>
          </w:tcPr>
          <w:p w:rsidR="00982FC3" w:rsidRPr="009A034E" w:rsidRDefault="00982FC3" w:rsidP="003D19FC">
            <w:pPr>
              <w:pStyle w:val="ListParagraph"/>
              <w:numPr>
                <w:ilvl w:val="0"/>
                <w:numId w:val="22"/>
              </w:numPr>
              <w:rPr>
                <w:rFonts w:ascii="Century Gothic" w:hAnsi="Century Gothic"/>
                <w:sz w:val="18"/>
                <w:szCs w:val="18"/>
              </w:rPr>
            </w:pPr>
            <w:r w:rsidRPr="00982FC3">
              <w:rPr>
                <w:rFonts w:ascii="Century Gothic" w:hAnsi="Century Gothic"/>
                <w:sz w:val="18"/>
                <w:szCs w:val="18"/>
                <w:lang w:val="en-US"/>
              </w:rPr>
              <w:t xml:space="preserve">In 2014 we noted an increase </w:t>
            </w:r>
            <w:r w:rsidR="004F4664">
              <w:rPr>
                <w:rFonts w:ascii="Century Gothic" w:hAnsi="Century Gothic"/>
                <w:sz w:val="18"/>
                <w:szCs w:val="18"/>
                <w:lang w:val="en-US"/>
              </w:rPr>
              <w:t xml:space="preserve">in </w:t>
            </w:r>
            <w:r w:rsidRPr="00982FC3">
              <w:rPr>
                <w:rFonts w:ascii="Century Gothic" w:hAnsi="Century Gothic"/>
                <w:sz w:val="18"/>
                <w:szCs w:val="18"/>
                <w:lang w:val="en-US"/>
              </w:rPr>
              <w:t xml:space="preserve">demand from Chinese investors who seek to acquire franchises in Australia. </w:t>
            </w:r>
            <w:r w:rsidR="003D19FC">
              <w:rPr>
                <w:rFonts w:ascii="Century Gothic" w:hAnsi="Century Gothic"/>
                <w:sz w:val="18"/>
                <w:szCs w:val="18"/>
                <w:lang w:val="en-US"/>
              </w:rPr>
              <w:t>Most</w:t>
            </w:r>
            <w:r w:rsidRPr="00982FC3">
              <w:rPr>
                <w:rFonts w:ascii="Century Gothic" w:hAnsi="Century Gothic"/>
                <w:sz w:val="18"/>
                <w:szCs w:val="18"/>
                <w:lang w:val="en-US"/>
              </w:rPr>
              <w:t xml:space="preserve"> interest was </w:t>
            </w:r>
            <w:r w:rsidR="003D19FC">
              <w:rPr>
                <w:rFonts w:ascii="Century Gothic" w:hAnsi="Century Gothic"/>
                <w:sz w:val="18"/>
                <w:szCs w:val="18"/>
                <w:lang w:val="en-US"/>
              </w:rPr>
              <w:t xml:space="preserve">received </w:t>
            </w:r>
            <w:r w:rsidRPr="00982FC3">
              <w:rPr>
                <w:rFonts w:ascii="Century Gothic" w:hAnsi="Century Gothic"/>
                <w:sz w:val="18"/>
                <w:szCs w:val="18"/>
                <w:lang w:val="en-US"/>
              </w:rPr>
              <w:t xml:space="preserve">for franchises valued between $250,000 and $1 million. Food related franchises were </w:t>
            </w:r>
            <w:r w:rsidR="003D19FC">
              <w:rPr>
                <w:rFonts w:ascii="Century Gothic" w:hAnsi="Century Gothic"/>
                <w:sz w:val="18"/>
                <w:szCs w:val="18"/>
                <w:lang w:val="en-US"/>
              </w:rPr>
              <w:t xml:space="preserve">also </w:t>
            </w:r>
            <w:r w:rsidRPr="00982FC3">
              <w:rPr>
                <w:rFonts w:ascii="Century Gothic" w:hAnsi="Century Gothic"/>
                <w:sz w:val="18"/>
                <w:szCs w:val="18"/>
                <w:lang w:val="en-US"/>
              </w:rPr>
              <w:t>preferred.</w:t>
            </w:r>
            <w:r>
              <w:rPr>
                <w:rFonts w:ascii="Century Gothic" w:hAnsi="Century Gothic"/>
                <w:sz w:val="18"/>
                <w:szCs w:val="18"/>
              </w:rPr>
              <w:t xml:space="preserve">  </w:t>
            </w:r>
          </w:p>
        </w:tc>
      </w:tr>
    </w:tbl>
    <w:p w:rsidR="00AB35DF" w:rsidRPr="00AB35DF" w:rsidRDefault="00AB35DF" w:rsidP="00AB35DF">
      <w:pPr>
        <w:rPr>
          <w:rFonts w:ascii="Century Gothic" w:hAnsi="Century Gothic"/>
          <w:sz w:val="18"/>
          <w:szCs w:val="18"/>
        </w:rPr>
      </w:pPr>
    </w:p>
    <w:p w:rsidR="00AB35DF" w:rsidRPr="00AB35DF" w:rsidRDefault="0079113A" w:rsidP="00AB35DF">
      <w:pPr>
        <w:rPr>
          <w:rFonts w:ascii="Century Gothic" w:hAnsi="Century Gothic"/>
          <w:b/>
          <w:i/>
          <w:sz w:val="18"/>
          <w:szCs w:val="18"/>
          <w:lang w:val="en-AU"/>
        </w:rPr>
      </w:pPr>
      <w:r>
        <w:rPr>
          <w:rFonts w:ascii="Century Gothic" w:hAnsi="Century Gothic"/>
          <w:b/>
          <w:i/>
          <w:sz w:val="18"/>
          <w:szCs w:val="18"/>
          <w:lang w:val="en-AU"/>
        </w:rPr>
        <w:t>6</w:t>
      </w:r>
      <w:r w:rsidR="00AB35DF" w:rsidRPr="00AB35DF">
        <w:rPr>
          <w:rFonts w:ascii="Century Gothic" w:hAnsi="Century Gothic"/>
          <w:b/>
          <w:i/>
          <w:sz w:val="18"/>
          <w:szCs w:val="18"/>
          <w:lang w:val="en-AU"/>
        </w:rPr>
        <w:t xml:space="preserve">. Record number of SMEs for sale </w:t>
      </w:r>
    </w:p>
    <w:p w:rsidR="0080527D" w:rsidRDefault="00874313" w:rsidP="00AB35DF">
      <w:pPr>
        <w:rPr>
          <w:rFonts w:ascii="Century Gothic" w:hAnsi="Century Gothic"/>
          <w:sz w:val="18"/>
          <w:szCs w:val="18"/>
          <w:lang w:val="en-AU"/>
        </w:rPr>
      </w:pPr>
      <w:r>
        <w:rPr>
          <w:rFonts w:ascii="Century Gothic" w:hAnsi="Century Gothic"/>
          <w:sz w:val="18"/>
          <w:szCs w:val="18"/>
          <w:lang w:val="en-AU"/>
        </w:rPr>
        <w:t>C</w:t>
      </w:r>
      <w:r w:rsidR="0080527D" w:rsidRPr="0080527D">
        <w:rPr>
          <w:rFonts w:ascii="Century Gothic" w:hAnsi="Century Gothic"/>
          <w:sz w:val="18"/>
          <w:szCs w:val="18"/>
          <w:lang w:val="en-AU"/>
        </w:rPr>
        <w:t>ompetition amongst business owners to sell their business is increasing significantly with over 40,000 SMEs for sale in October 2014.</w:t>
      </w:r>
      <w:r w:rsidR="0080527D">
        <w:rPr>
          <w:rFonts w:ascii="Century Gothic" w:hAnsi="Century Gothic"/>
          <w:sz w:val="18"/>
          <w:szCs w:val="18"/>
          <w:lang w:val="en-AU"/>
        </w:rPr>
        <w:t xml:space="preserve"> That represented an increase of 23% in </w:t>
      </w:r>
      <w:r w:rsidR="0080527D" w:rsidRPr="0080527D">
        <w:rPr>
          <w:rFonts w:ascii="Century Gothic" w:hAnsi="Century Gothic"/>
          <w:sz w:val="18"/>
          <w:szCs w:val="18"/>
          <w:lang w:val="en-AU"/>
        </w:rPr>
        <w:t xml:space="preserve">the volume of business advertised for sale </w:t>
      </w:r>
      <w:r w:rsidR="0080527D">
        <w:rPr>
          <w:rFonts w:ascii="Century Gothic" w:hAnsi="Century Gothic"/>
          <w:sz w:val="18"/>
          <w:szCs w:val="18"/>
          <w:lang w:val="en-AU"/>
        </w:rPr>
        <w:t>over the previous quarter</w:t>
      </w:r>
      <w:r w:rsidR="0080527D" w:rsidRPr="0080527D">
        <w:rPr>
          <w:rFonts w:ascii="Century Gothic" w:hAnsi="Century Gothic"/>
          <w:sz w:val="18"/>
          <w:szCs w:val="18"/>
          <w:lang w:val="en-AU"/>
        </w:rPr>
        <w:t>.</w:t>
      </w:r>
    </w:p>
    <w:p w:rsidR="0080527D" w:rsidRDefault="0080527D" w:rsidP="00AB35DF">
      <w:pPr>
        <w:rPr>
          <w:rFonts w:ascii="Century Gothic" w:hAnsi="Century Gothic"/>
          <w:sz w:val="18"/>
          <w:szCs w:val="18"/>
          <w:lang w:val="en-AU"/>
        </w:rPr>
      </w:pPr>
    </w:p>
    <w:p w:rsidR="0096587C" w:rsidRDefault="0080527D" w:rsidP="00AB35DF">
      <w:pPr>
        <w:rPr>
          <w:rFonts w:ascii="Century Gothic" w:hAnsi="Century Gothic"/>
          <w:sz w:val="18"/>
          <w:szCs w:val="18"/>
          <w:lang w:val="en-AU"/>
        </w:rPr>
      </w:pPr>
      <w:r>
        <w:rPr>
          <w:rFonts w:ascii="Century Gothic" w:hAnsi="Century Gothic"/>
          <w:sz w:val="18"/>
          <w:szCs w:val="18"/>
          <w:lang w:val="en-AU"/>
        </w:rPr>
        <w:t>We anticipate the volume of SME businesses for sale will continue to increase throughout 2015</w:t>
      </w:r>
      <w:r w:rsidR="007D30D2">
        <w:rPr>
          <w:rFonts w:ascii="Century Gothic" w:hAnsi="Century Gothic"/>
          <w:sz w:val="18"/>
          <w:szCs w:val="18"/>
          <w:lang w:val="en-AU"/>
        </w:rPr>
        <w:t xml:space="preserve">, primarily driven by the retirement of baby boomer business owners. It is estimated that </w:t>
      </w:r>
      <w:r w:rsidR="0096587C">
        <w:rPr>
          <w:rFonts w:ascii="Century Gothic" w:hAnsi="Century Gothic"/>
          <w:sz w:val="18"/>
          <w:szCs w:val="18"/>
          <w:lang w:val="en-AU"/>
        </w:rPr>
        <w:t>around 8</w:t>
      </w:r>
      <w:r w:rsidR="007D30D2">
        <w:rPr>
          <w:rFonts w:ascii="Century Gothic" w:hAnsi="Century Gothic"/>
          <w:sz w:val="18"/>
          <w:szCs w:val="18"/>
          <w:lang w:val="en-AU"/>
        </w:rPr>
        <w:t xml:space="preserve">0% of Australian SMEs are owned by baby boomers. </w:t>
      </w:r>
      <w:r w:rsidR="0096587C" w:rsidRPr="0096587C">
        <w:rPr>
          <w:rFonts w:ascii="Century Gothic" w:hAnsi="Century Gothic"/>
          <w:sz w:val="18"/>
          <w:szCs w:val="18"/>
          <w:lang w:val="en-AU"/>
        </w:rPr>
        <w:t>PwC estimates that over the next decade some 1.4 million business owners will retire</w:t>
      </w:r>
      <w:r w:rsidR="0096587C">
        <w:rPr>
          <w:rFonts w:ascii="Century Gothic" w:hAnsi="Century Gothic"/>
          <w:sz w:val="18"/>
          <w:szCs w:val="18"/>
          <w:lang w:val="en-AU"/>
        </w:rPr>
        <w:t>.</w:t>
      </w:r>
    </w:p>
    <w:p w:rsidR="0096587C" w:rsidRDefault="0096587C" w:rsidP="00AB35DF">
      <w:pPr>
        <w:rPr>
          <w:rFonts w:ascii="Century Gothic" w:hAnsi="Century Gothic"/>
          <w:sz w:val="18"/>
          <w:szCs w:val="18"/>
          <w:lang w:val="en-AU"/>
        </w:rPr>
      </w:pPr>
    </w:p>
    <w:p w:rsidR="0096587C" w:rsidRDefault="007D30D2" w:rsidP="00AB35DF">
      <w:pPr>
        <w:rPr>
          <w:rFonts w:ascii="Century Gothic" w:hAnsi="Century Gothic"/>
          <w:sz w:val="18"/>
          <w:szCs w:val="18"/>
          <w:lang w:val="en-AU"/>
        </w:rPr>
      </w:pPr>
      <w:r>
        <w:rPr>
          <w:rFonts w:ascii="Century Gothic" w:hAnsi="Century Gothic"/>
          <w:sz w:val="18"/>
          <w:szCs w:val="18"/>
          <w:lang w:val="en-AU"/>
        </w:rPr>
        <w:t xml:space="preserve">In 2015 baby boomers will be aged between 55 and 72, many within reach of retirement. </w:t>
      </w:r>
      <w:r w:rsidR="0096587C">
        <w:rPr>
          <w:rFonts w:ascii="Century Gothic" w:hAnsi="Century Gothic"/>
          <w:sz w:val="18"/>
          <w:szCs w:val="18"/>
          <w:lang w:val="en-AU"/>
        </w:rPr>
        <w:t xml:space="preserve">In many cases the </w:t>
      </w:r>
      <w:r w:rsidR="00874313" w:rsidRPr="00874313">
        <w:rPr>
          <w:rFonts w:ascii="Century Gothic" w:hAnsi="Century Gothic"/>
          <w:sz w:val="18"/>
          <w:szCs w:val="18"/>
          <w:lang w:val="en-AU"/>
        </w:rPr>
        <w:t>descendant</w:t>
      </w:r>
      <w:r w:rsidR="00874313">
        <w:rPr>
          <w:rFonts w:ascii="Century Gothic" w:hAnsi="Century Gothic"/>
          <w:sz w:val="18"/>
          <w:szCs w:val="18"/>
          <w:lang w:val="en-AU"/>
        </w:rPr>
        <w:t>s</w:t>
      </w:r>
      <w:r w:rsidR="0096587C">
        <w:rPr>
          <w:rFonts w:ascii="Century Gothic" w:hAnsi="Century Gothic"/>
          <w:sz w:val="18"/>
          <w:szCs w:val="18"/>
          <w:lang w:val="en-AU"/>
        </w:rPr>
        <w:t xml:space="preserve"> of boomers do not wish to take over their parents’ business. Many have their own careers and others have seen how hard their parents have had to work within the business over the years.</w:t>
      </w:r>
    </w:p>
    <w:p w:rsidR="0096587C" w:rsidRDefault="0096587C" w:rsidP="00AB35DF">
      <w:pPr>
        <w:rPr>
          <w:rFonts w:ascii="Century Gothic" w:hAnsi="Century Gothic"/>
          <w:sz w:val="18"/>
          <w:szCs w:val="18"/>
          <w:lang w:val="en-AU"/>
        </w:rPr>
      </w:pPr>
    </w:p>
    <w:p w:rsidR="007D30D2" w:rsidRDefault="0096587C" w:rsidP="00AB35DF">
      <w:pPr>
        <w:rPr>
          <w:rFonts w:ascii="Century Gothic" w:hAnsi="Century Gothic"/>
          <w:sz w:val="18"/>
          <w:szCs w:val="18"/>
          <w:lang w:val="en-AU"/>
        </w:rPr>
      </w:pPr>
      <w:r>
        <w:rPr>
          <w:rFonts w:ascii="Century Gothic" w:hAnsi="Century Gothic"/>
          <w:sz w:val="18"/>
          <w:szCs w:val="18"/>
          <w:lang w:val="en-AU"/>
        </w:rPr>
        <w:t>As such w</w:t>
      </w:r>
      <w:r w:rsidRPr="0096587C">
        <w:rPr>
          <w:rFonts w:ascii="Century Gothic" w:hAnsi="Century Gothic"/>
          <w:sz w:val="18"/>
          <w:szCs w:val="18"/>
          <w:lang w:val="en-AU"/>
        </w:rPr>
        <w:t>e believe many retiring boomers will look to sell their business rather than leave the business to family.</w:t>
      </w:r>
      <w:r>
        <w:rPr>
          <w:rFonts w:ascii="Century Gothic" w:hAnsi="Century Gothic"/>
          <w:sz w:val="18"/>
          <w:szCs w:val="18"/>
          <w:lang w:val="en-AU"/>
        </w:rPr>
        <w:t xml:space="preserve"> This will create a greater volume of businesses for sale and increase the competition amongst SME owners to attract buyers.  </w:t>
      </w:r>
    </w:p>
    <w:p w:rsidR="00AB35DF" w:rsidRDefault="0080527D" w:rsidP="002D789D">
      <w:pPr>
        <w:rPr>
          <w:rFonts w:ascii="Century Gothic" w:hAnsi="Century Gothic"/>
          <w:sz w:val="18"/>
          <w:szCs w:val="18"/>
          <w:lang w:val="en-AU"/>
        </w:rPr>
      </w:pPr>
      <w:r>
        <w:rPr>
          <w:rFonts w:ascii="Century Gothic" w:hAnsi="Century Gothic"/>
          <w:sz w:val="18"/>
          <w:szCs w:val="18"/>
          <w:lang w:val="en-AU"/>
        </w:rPr>
        <w:t xml:space="preserve"> </w:t>
      </w:r>
    </w:p>
    <w:p w:rsidR="000954D5" w:rsidRPr="003D19FC" w:rsidRDefault="0079113A" w:rsidP="000D7DC5">
      <w:pPr>
        <w:rPr>
          <w:rFonts w:ascii="Century Gothic" w:hAnsi="Century Gothic"/>
          <w:b/>
          <w:i/>
          <w:sz w:val="18"/>
          <w:szCs w:val="18"/>
          <w:lang w:val="en-AU"/>
        </w:rPr>
      </w:pPr>
      <w:r>
        <w:rPr>
          <w:rFonts w:ascii="Century Gothic" w:hAnsi="Century Gothic"/>
          <w:b/>
          <w:i/>
          <w:sz w:val="18"/>
          <w:szCs w:val="18"/>
          <w:lang w:val="en-AU"/>
        </w:rPr>
        <w:t>7</w:t>
      </w:r>
      <w:r w:rsidR="000954D5" w:rsidRPr="003D19FC">
        <w:rPr>
          <w:rFonts w:ascii="Century Gothic" w:hAnsi="Century Gothic"/>
          <w:b/>
          <w:i/>
          <w:sz w:val="18"/>
          <w:szCs w:val="18"/>
          <w:lang w:val="en-AU"/>
        </w:rPr>
        <w:t xml:space="preserve">. </w:t>
      </w:r>
      <w:r w:rsidR="003D19FC">
        <w:rPr>
          <w:rFonts w:ascii="Century Gothic" w:hAnsi="Century Gothic"/>
          <w:b/>
          <w:i/>
          <w:sz w:val="18"/>
          <w:szCs w:val="18"/>
          <w:lang w:val="en-AU"/>
        </w:rPr>
        <w:t xml:space="preserve">M&amp;A </w:t>
      </w:r>
      <w:r w:rsidR="0097005C">
        <w:rPr>
          <w:rFonts w:ascii="Century Gothic" w:hAnsi="Century Gothic"/>
          <w:b/>
          <w:i/>
          <w:sz w:val="18"/>
          <w:szCs w:val="18"/>
          <w:lang w:val="en-AU"/>
        </w:rPr>
        <w:t xml:space="preserve">led by SMEs </w:t>
      </w:r>
      <w:r w:rsidR="003D19FC">
        <w:rPr>
          <w:rFonts w:ascii="Century Gothic" w:hAnsi="Century Gothic"/>
          <w:b/>
          <w:i/>
          <w:sz w:val="18"/>
          <w:szCs w:val="18"/>
          <w:lang w:val="en-AU"/>
        </w:rPr>
        <w:t>to accelerate as SMEs seek scale</w:t>
      </w:r>
    </w:p>
    <w:p w:rsidR="00AA2594" w:rsidRDefault="003D19FC" w:rsidP="000D7DC5">
      <w:pPr>
        <w:rPr>
          <w:rFonts w:ascii="Century Gothic" w:hAnsi="Century Gothic"/>
          <w:sz w:val="18"/>
          <w:szCs w:val="18"/>
        </w:rPr>
      </w:pPr>
      <w:r>
        <w:rPr>
          <w:rFonts w:ascii="Century Gothic" w:hAnsi="Century Gothic"/>
          <w:sz w:val="18"/>
          <w:szCs w:val="18"/>
        </w:rPr>
        <w:t xml:space="preserve">For most SMEs growth is achieved organically with increased sales deriving from new markets, new customers or new products. </w:t>
      </w:r>
      <w:r w:rsidR="00AA2594">
        <w:rPr>
          <w:rFonts w:ascii="Century Gothic" w:hAnsi="Century Gothic"/>
          <w:sz w:val="18"/>
          <w:szCs w:val="18"/>
        </w:rPr>
        <w:t xml:space="preserve">As a result much of the M&amp;A activity </w:t>
      </w:r>
      <w:r w:rsidR="0097005C">
        <w:rPr>
          <w:rFonts w:ascii="Century Gothic" w:hAnsi="Century Gothic"/>
          <w:sz w:val="18"/>
          <w:szCs w:val="18"/>
        </w:rPr>
        <w:t xml:space="preserve">currently </w:t>
      </w:r>
      <w:r w:rsidR="00AA2594">
        <w:rPr>
          <w:rFonts w:ascii="Century Gothic" w:hAnsi="Century Gothic"/>
          <w:sz w:val="18"/>
          <w:szCs w:val="18"/>
        </w:rPr>
        <w:t>relates to larger corporate</w:t>
      </w:r>
      <w:r w:rsidR="0097005C">
        <w:rPr>
          <w:rFonts w:ascii="Century Gothic" w:hAnsi="Century Gothic"/>
          <w:sz w:val="18"/>
          <w:szCs w:val="18"/>
        </w:rPr>
        <w:t>s</w:t>
      </w:r>
      <w:r w:rsidR="00AA2594">
        <w:rPr>
          <w:rFonts w:ascii="Century Gothic" w:hAnsi="Century Gothic"/>
          <w:sz w:val="18"/>
          <w:szCs w:val="18"/>
        </w:rPr>
        <w:t xml:space="preserve"> acquiring SME</w:t>
      </w:r>
      <w:r w:rsidR="0097005C">
        <w:rPr>
          <w:rFonts w:ascii="Century Gothic" w:hAnsi="Century Gothic"/>
          <w:sz w:val="18"/>
          <w:szCs w:val="18"/>
        </w:rPr>
        <w:t>s</w:t>
      </w:r>
      <w:r w:rsidR="00AA2594">
        <w:rPr>
          <w:rFonts w:ascii="Century Gothic" w:hAnsi="Century Gothic"/>
          <w:sz w:val="18"/>
          <w:szCs w:val="18"/>
        </w:rPr>
        <w:t>.</w:t>
      </w:r>
    </w:p>
    <w:p w:rsidR="00AA2594" w:rsidRDefault="00AA2594" w:rsidP="000D7DC5">
      <w:pPr>
        <w:rPr>
          <w:rFonts w:ascii="Century Gothic" w:hAnsi="Century Gothic"/>
          <w:sz w:val="18"/>
          <w:szCs w:val="18"/>
        </w:rPr>
      </w:pPr>
    </w:p>
    <w:p w:rsidR="003D19FC" w:rsidRDefault="003D19FC" w:rsidP="000D7DC5">
      <w:pPr>
        <w:rPr>
          <w:rFonts w:ascii="Century Gothic" w:hAnsi="Century Gothic"/>
          <w:sz w:val="18"/>
          <w:szCs w:val="18"/>
        </w:rPr>
      </w:pPr>
      <w:r>
        <w:rPr>
          <w:rFonts w:ascii="Century Gothic" w:hAnsi="Century Gothic"/>
          <w:sz w:val="18"/>
          <w:szCs w:val="18"/>
        </w:rPr>
        <w:t xml:space="preserve">We believe in 2015, merger and acquisition activity </w:t>
      </w:r>
      <w:r w:rsidR="00AA2594">
        <w:rPr>
          <w:rFonts w:ascii="Century Gothic" w:hAnsi="Century Gothic"/>
          <w:sz w:val="18"/>
          <w:szCs w:val="18"/>
        </w:rPr>
        <w:t>driven by SMEs will accelerate for several reasons:</w:t>
      </w:r>
    </w:p>
    <w:p w:rsidR="00AA2594" w:rsidRPr="00BA2E1C" w:rsidRDefault="00AA2594" w:rsidP="00494650">
      <w:pPr>
        <w:pStyle w:val="ListParagraph"/>
        <w:numPr>
          <w:ilvl w:val="0"/>
          <w:numId w:val="26"/>
        </w:numPr>
        <w:rPr>
          <w:rFonts w:ascii="Century Gothic" w:hAnsi="Century Gothic"/>
          <w:sz w:val="18"/>
          <w:szCs w:val="18"/>
        </w:rPr>
      </w:pPr>
      <w:r w:rsidRPr="00BA2E1C">
        <w:rPr>
          <w:rFonts w:ascii="Century Gothic" w:hAnsi="Century Gothic"/>
          <w:sz w:val="18"/>
          <w:szCs w:val="18"/>
        </w:rPr>
        <w:t>Increased competition for exit</w:t>
      </w:r>
      <w:r w:rsidR="0062442E" w:rsidRPr="00BA2E1C">
        <w:rPr>
          <w:rFonts w:ascii="Century Gothic" w:hAnsi="Century Gothic"/>
          <w:sz w:val="18"/>
          <w:szCs w:val="18"/>
        </w:rPr>
        <w:t>:</w:t>
      </w:r>
      <w:r w:rsidRPr="00BA2E1C">
        <w:rPr>
          <w:rFonts w:ascii="Century Gothic" w:hAnsi="Century Gothic"/>
          <w:sz w:val="18"/>
          <w:szCs w:val="18"/>
        </w:rPr>
        <w:t xml:space="preserve"> with an increasing number of SMEs available for sale, small and medium business owners will need to differentiate their business to attract trade and financial buyers.</w:t>
      </w:r>
      <w:r w:rsidR="0097005C" w:rsidRPr="00BA2E1C">
        <w:rPr>
          <w:rFonts w:ascii="Century Gothic" w:hAnsi="Century Gothic"/>
          <w:sz w:val="18"/>
          <w:szCs w:val="18"/>
        </w:rPr>
        <w:t xml:space="preserve"> </w:t>
      </w:r>
      <w:r w:rsidR="00BA2E1C" w:rsidRPr="00BA2E1C">
        <w:rPr>
          <w:rFonts w:ascii="Century Gothic" w:hAnsi="Century Gothic"/>
          <w:sz w:val="18"/>
          <w:szCs w:val="18"/>
        </w:rPr>
        <w:t xml:space="preserve"> One method t</w:t>
      </w:r>
      <w:r w:rsidR="0097005C" w:rsidRPr="00BA2E1C">
        <w:rPr>
          <w:rFonts w:ascii="Century Gothic" w:hAnsi="Century Gothic"/>
          <w:sz w:val="18"/>
          <w:szCs w:val="18"/>
        </w:rPr>
        <w:t xml:space="preserve">o achieve this </w:t>
      </w:r>
      <w:r w:rsidR="00BA2E1C" w:rsidRPr="00BA2E1C">
        <w:rPr>
          <w:rFonts w:ascii="Century Gothic" w:hAnsi="Century Gothic"/>
          <w:sz w:val="18"/>
          <w:szCs w:val="18"/>
        </w:rPr>
        <w:t>is through the acquisition of another business</w:t>
      </w:r>
      <w:r w:rsidR="0097005C" w:rsidRPr="00BA2E1C">
        <w:rPr>
          <w:rFonts w:ascii="Century Gothic" w:hAnsi="Century Gothic"/>
          <w:sz w:val="18"/>
          <w:szCs w:val="18"/>
        </w:rPr>
        <w:t xml:space="preserve"> to quickly generate greater scale.</w:t>
      </w:r>
    </w:p>
    <w:p w:rsidR="00AA2594" w:rsidRPr="00494650" w:rsidRDefault="0062442E" w:rsidP="00494650">
      <w:pPr>
        <w:pStyle w:val="ListParagraph"/>
        <w:numPr>
          <w:ilvl w:val="0"/>
          <w:numId w:val="26"/>
        </w:numPr>
        <w:rPr>
          <w:rFonts w:ascii="Century Gothic" w:hAnsi="Century Gothic"/>
          <w:sz w:val="18"/>
          <w:szCs w:val="18"/>
        </w:rPr>
      </w:pPr>
      <w:r w:rsidRPr="00BA2E1C">
        <w:rPr>
          <w:rFonts w:ascii="Century Gothic" w:hAnsi="Century Gothic"/>
          <w:sz w:val="18"/>
          <w:szCs w:val="18"/>
        </w:rPr>
        <w:t>Accelerated growth</w:t>
      </w:r>
      <w:r w:rsidR="00AA2594" w:rsidRPr="00BA2E1C">
        <w:rPr>
          <w:rFonts w:ascii="Century Gothic" w:hAnsi="Century Gothic"/>
          <w:sz w:val="18"/>
          <w:szCs w:val="18"/>
        </w:rPr>
        <w:t>: as a general</w:t>
      </w:r>
      <w:r w:rsidR="00AA2594" w:rsidRPr="00494650">
        <w:rPr>
          <w:rFonts w:ascii="Century Gothic" w:hAnsi="Century Gothic"/>
          <w:sz w:val="18"/>
          <w:szCs w:val="18"/>
        </w:rPr>
        <w:t xml:space="preserve"> rule, larger earnings attract higher multiples when comparing like-for-like businesses. Astute SME business owners will understand that they can accelerate the growth in value of their company </w:t>
      </w:r>
      <w:r w:rsidR="00494650" w:rsidRPr="00494650">
        <w:rPr>
          <w:rFonts w:ascii="Century Gothic" w:hAnsi="Century Gothic"/>
          <w:sz w:val="18"/>
          <w:szCs w:val="18"/>
        </w:rPr>
        <w:t xml:space="preserve">inorganically by rapidly adding earnings through acquisition and via the multiple increase that </w:t>
      </w:r>
      <w:r w:rsidR="0097005C">
        <w:rPr>
          <w:rFonts w:ascii="Century Gothic" w:hAnsi="Century Gothic"/>
          <w:sz w:val="18"/>
          <w:szCs w:val="18"/>
        </w:rPr>
        <w:t xml:space="preserve">this scale </w:t>
      </w:r>
      <w:r w:rsidR="00494650" w:rsidRPr="00494650">
        <w:rPr>
          <w:rFonts w:ascii="Century Gothic" w:hAnsi="Century Gothic"/>
          <w:sz w:val="18"/>
          <w:szCs w:val="18"/>
        </w:rPr>
        <w:t>potentially may deliver to their valuation.</w:t>
      </w:r>
    </w:p>
    <w:p w:rsidR="00AA2594" w:rsidRPr="00494650" w:rsidRDefault="00AA2594" w:rsidP="00494650">
      <w:pPr>
        <w:pStyle w:val="ListParagraph"/>
        <w:numPr>
          <w:ilvl w:val="0"/>
          <w:numId w:val="26"/>
        </w:numPr>
        <w:rPr>
          <w:rFonts w:ascii="Century Gothic" w:hAnsi="Century Gothic"/>
          <w:sz w:val="18"/>
          <w:szCs w:val="18"/>
        </w:rPr>
      </w:pPr>
      <w:r w:rsidRPr="00494650">
        <w:rPr>
          <w:rFonts w:ascii="Century Gothic" w:hAnsi="Century Gothic"/>
          <w:sz w:val="18"/>
          <w:szCs w:val="18"/>
        </w:rPr>
        <w:t>As a defensive mechanism:</w:t>
      </w:r>
      <w:r w:rsidR="0062442E">
        <w:rPr>
          <w:rFonts w:ascii="Century Gothic" w:hAnsi="Century Gothic"/>
          <w:sz w:val="18"/>
          <w:szCs w:val="18"/>
        </w:rPr>
        <w:t xml:space="preserve"> </w:t>
      </w:r>
      <w:r w:rsidR="00545966">
        <w:rPr>
          <w:rFonts w:ascii="Century Gothic" w:hAnsi="Century Gothic"/>
          <w:sz w:val="18"/>
          <w:szCs w:val="18"/>
        </w:rPr>
        <w:t xml:space="preserve">consolidation </w:t>
      </w:r>
      <w:r w:rsidR="00AB35DF">
        <w:rPr>
          <w:rFonts w:ascii="Century Gothic" w:hAnsi="Century Gothic"/>
          <w:sz w:val="18"/>
          <w:szCs w:val="18"/>
        </w:rPr>
        <w:t xml:space="preserve">within certain industries </w:t>
      </w:r>
      <w:r w:rsidR="00545966">
        <w:rPr>
          <w:rFonts w:ascii="Century Gothic" w:hAnsi="Century Gothic"/>
          <w:sz w:val="18"/>
          <w:szCs w:val="18"/>
        </w:rPr>
        <w:t xml:space="preserve">will </w:t>
      </w:r>
      <w:r w:rsidR="00AB35DF">
        <w:rPr>
          <w:rFonts w:ascii="Century Gothic" w:hAnsi="Century Gothic"/>
          <w:sz w:val="18"/>
          <w:szCs w:val="18"/>
        </w:rPr>
        <w:t>be employed as a</w:t>
      </w:r>
      <w:r w:rsidR="00545966">
        <w:rPr>
          <w:rFonts w:ascii="Century Gothic" w:hAnsi="Century Gothic"/>
          <w:sz w:val="18"/>
          <w:szCs w:val="18"/>
        </w:rPr>
        <w:t xml:space="preserve"> defensive strategy. SMEs will acquire and or merge with other SMEs in order to increase scale</w:t>
      </w:r>
      <w:r w:rsidR="006161BC">
        <w:rPr>
          <w:rFonts w:ascii="Century Gothic" w:hAnsi="Century Gothic"/>
          <w:sz w:val="18"/>
          <w:szCs w:val="18"/>
        </w:rPr>
        <w:t>,</w:t>
      </w:r>
      <w:r w:rsidR="00AB35DF">
        <w:rPr>
          <w:rFonts w:ascii="Century Gothic" w:hAnsi="Century Gothic"/>
          <w:sz w:val="18"/>
          <w:szCs w:val="18"/>
        </w:rPr>
        <w:t xml:space="preserve"> reduce overheads </w:t>
      </w:r>
      <w:r w:rsidR="006161BC">
        <w:rPr>
          <w:rFonts w:ascii="Century Gothic" w:hAnsi="Century Gothic"/>
          <w:sz w:val="18"/>
          <w:szCs w:val="18"/>
        </w:rPr>
        <w:t xml:space="preserve">and </w:t>
      </w:r>
      <w:r w:rsidR="00AB35DF">
        <w:rPr>
          <w:rFonts w:ascii="Century Gothic" w:hAnsi="Century Gothic"/>
          <w:sz w:val="18"/>
          <w:szCs w:val="18"/>
        </w:rPr>
        <w:t>seek synergies.</w:t>
      </w:r>
      <w:r w:rsidR="00545966">
        <w:rPr>
          <w:rFonts w:ascii="Century Gothic" w:hAnsi="Century Gothic"/>
          <w:sz w:val="18"/>
          <w:szCs w:val="18"/>
        </w:rPr>
        <w:t xml:space="preserve"> </w:t>
      </w:r>
    </w:p>
    <w:p w:rsidR="006161BC" w:rsidRPr="006161BC" w:rsidRDefault="00AA2594" w:rsidP="00F47D42">
      <w:pPr>
        <w:pStyle w:val="ListParagraph"/>
        <w:numPr>
          <w:ilvl w:val="0"/>
          <w:numId w:val="26"/>
        </w:numPr>
        <w:rPr>
          <w:rFonts w:ascii="Century Gothic" w:hAnsi="Century Gothic"/>
          <w:b/>
          <w:color w:val="1F497D" w:themeColor="text2"/>
          <w:sz w:val="18"/>
          <w:szCs w:val="18"/>
        </w:rPr>
      </w:pPr>
      <w:r w:rsidRPr="006161BC">
        <w:rPr>
          <w:rFonts w:ascii="Century Gothic" w:hAnsi="Century Gothic"/>
          <w:sz w:val="18"/>
          <w:szCs w:val="18"/>
        </w:rPr>
        <w:t xml:space="preserve">In response to market opportunities: </w:t>
      </w:r>
      <w:r w:rsidR="00AB35DF" w:rsidRPr="006161BC">
        <w:rPr>
          <w:rFonts w:ascii="Century Gothic" w:hAnsi="Century Gothic"/>
          <w:sz w:val="18"/>
          <w:szCs w:val="18"/>
        </w:rPr>
        <w:t>the volume of SMEs available for sale will present an obvious buying opportunity for SME business owners who are able to access funding</w:t>
      </w:r>
      <w:r w:rsidR="0097005C" w:rsidRPr="006161BC">
        <w:rPr>
          <w:rFonts w:ascii="Century Gothic" w:hAnsi="Century Gothic"/>
          <w:sz w:val="18"/>
          <w:szCs w:val="18"/>
        </w:rPr>
        <w:t xml:space="preserve"> and have the ability to integrate the acquisition</w:t>
      </w:r>
      <w:r w:rsidR="00AB35DF" w:rsidRPr="006161BC">
        <w:rPr>
          <w:rFonts w:ascii="Century Gothic" w:hAnsi="Century Gothic"/>
          <w:sz w:val="18"/>
          <w:szCs w:val="18"/>
        </w:rPr>
        <w:t>.</w:t>
      </w:r>
      <w:r w:rsidR="006161BC" w:rsidRPr="006161BC">
        <w:rPr>
          <w:rFonts w:ascii="Century Gothic" w:hAnsi="Century Gothic"/>
          <w:b/>
          <w:color w:val="1F497D" w:themeColor="text2"/>
          <w:sz w:val="18"/>
          <w:szCs w:val="18"/>
        </w:rPr>
        <w:br w:type="page"/>
      </w:r>
    </w:p>
    <w:p w:rsidR="006161BC" w:rsidRDefault="006161BC" w:rsidP="00643102">
      <w:pPr>
        <w:rPr>
          <w:rFonts w:ascii="Century Gothic" w:hAnsi="Century Gothic"/>
          <w:b/>
          <w:color w:val="1F497D" w:themeColor="text2"/>
          <w:sz w:val="18"/>
          <w:szCs w:val="18"/>
          <w:lang w:val="en-AU"/>
        </w:rPr>
      </w:pPr>
    </w:p>
    <w:p w:rsidR="00643102" w:rsidRPr="0047533F" w:rsidRDefault="00643102" w:rsidP="00643102">
      <w:pPr>
        <w:rPr>
          <w:rFonts w:ascii="Century Gothic" w:hAnsi="Century Gothic"/>
          <w:b/>
          <w:color w:val="1F497D" w:themeColor="text2"/>
          <w:sz w:val="18"/>
          <w:szCs w:val="18"/>
          <w:lang w:val="en-AU"/>
        </w:rPr>
      </w:pPr>
      <w:r>
        <w:rPr>
          <w:rFonts w:ascii="Century Gothic" w:hAnsi="Century Gothic"/>
          <w:b/>
          <w:color w:val="1F497D" w:themeColor="text2"/>
          <w:sz w:val="18"/>
          <w:szCs w:val="18"/>
          <w:lang w:val="en-AU"/>
        </w:rPr>
        <w:t>Implications for the SME Owner</w:t>
      </w:r>
    </w:p>
    <w:p w:rsidR="00567663" w:rsidRDefault="006B3F3A" w:rsidP="002D789D">
      <w:pPr>
        <w:rPr>
          <w:rFonts w:ascii="Century Gothic" w:hAnsi="Century Gothic"/>
          <w:sz w:val="18"/>
          <w:szCs w:val="18"/>
          <w:lang w:val="en-AU"/>
        </w:rPr>
      </w:pPr>
      <w:r>
        <w:rPr>
          <w:rFonts w:ascii="Century Gothic" w:hAnsi="Century Gothic"/>
          <w:sz w:val="18"/>
          <w:szCs w:val="18"/>
          <w:lang w:val="en-AU"/>
        </w:rPr>
        <w:t xml:space="preserve">To best respond to these emerging M&amp;A trends for SMEs, </w:t>
      </w:r>
      <w:r w:rsidR="00174041">
        <w:rPr>
          <w:rFonts w:ascii="Century Gothic" w:hAnsi="Century Gothic"/>
          <w:sz w:val="18"/>
          <w:szCs w:val="18"/>
          <w:lang w:val="en-AU"/>
        </w:rPr>
        <w:t xml:space="preserve">Scancorp </w:t>
      </w:r>
      <w:r>
        <w:rPr>
          <w:rFonts w:ascii="Century Gothic" w:hAnsi="Century Gothic"/>
          <w:sz w:val="18"/>
          <w:szCs w:val="18"/>
          <w:lang w:val="en-AU"/>
        </w:rPr>
        <w:t>believes there are three important considerations for owners and their advisers:</w:t>
      </w:r>
    </w:p>
    <w:p w:rsidR="005A47E6" w:rsidRDefault="005A47E6" w:rsidP="002D789D">
      <w:pPr>
        <w:rPr>
          <w:rFonts w:ascii="Century Gothic" w:hAnsi="Century Gothic"/>
          <w:b/>
          <w:i/>
          <w:sz w:val="18"/>
          <w:szCs w:val="18"/>
          <w:lang w:val="en-AU"/>
        </w:rPr>
      </w:pPr>
    </w:p>
    <w:p w:rsidR="005A47E6" w:rsidRPr="005A47E6" w:rsidRDefault="005A47E6" w:rsidP="002D789D">
      <w:pPr>
        <w:rPr>
          <w:rFonts w:ascii="Century Gothic" w:hAnsi="Century Gothic"/>
          <w:b/>
          <w:i/>
          <w:sz w:val="18"/>
          <w:szCs w:val="18"/>
          <w:lang w:val="en-AU"/>
        </w:rPr>
      </w:pPr>
      <w:r w:rsidRPr="005A47E6">
        <w:rPr>
          <w:rFonts w:ascii="Century Gothic" w:hAnsi="Century Gothic"/>
          <w:b/>
          <w:i/>
          <w:sz w:val="18"/>
          <w:szCs w:val="18"/>
          <w:lang w:val="en-AU"/>
        </w:rPr>
        <w:t xml:space="preserve">1. </w:t>
      </w:r>
      <w:r w:rsidR="006B3F3A" w:rsidRPr="005A47E6">
        <w:rPr>
          <w:rFonts w:ascii="Century Gothic" w:hAnsi="Century Gothic"/>
          <w:b/>
          <w:i/>
          <w:sz w:val="18"/>
          <w:szCs w:val="18"/>
          <w:lang w:val="en-AU"/>
        </w:rPr>
        <w:t>Prepare the business for sale</w:t>
      </w:r>
    </w:p>
    <w:p w:rsidR="006B3F3A" w:rsidRDefault="005A47E6" w:rsidP="002D789D">
      <w:pPr>
        <w:rPr>
          <w:rFonts w:ascii="Century Gothic" w:hAnsi="Century Gothic"/>
          <w:sz w:val="18"/>
          <w:szCs w:val="18"/>
          <w:lang w:val="en-AU"/>
        </w:rPr>
      </w:pPr>
      <w:r>
        <w:rPr>
          <w:rFonts w:ascii="Century Gothic" w:hAnsi="Century Gothic"/>
          <w:sz w:val="18"/>
          <w:szCs w:val="18"/>
          <w:lang w:val="en-AU"/>
        </w:rPr>
        <w:t>A</w:t>
      </w:r>
      <w:r w:rsidR="006B3F3A">
        <w:rPr>
          <w:rFonts w:ascii="Century Gothic" w:hAnsi="Century Gothic"/>
          <w:sz w:val="18"/>
          <w:szCs w:val="18"/>
          <w:lang w:val="en-AU"/>
        </w:rPr>
        <w:t xml:space="preserve">t least 6 to 12 months prior to the commencement of a sale process, business owners and their advisers should clinically assess the attractiveness of the business to potential buyers. They need to consider the important characteristics that buyers will </w:t>
      </w:r>
      <w:r w:rsidR="00BE2653">
        <w:rPr>
          <w:rFonts w:ascii="Century Gothic" w:hAnsi="Century Gothic"/>
          <w:sz w:val="18"/>
          <w:szCs w:val="18"/>
          <w:lang w:val="en-AU"/>
        </w:rPr>
        <w:t>value, such as the independence of the business from the current owners, the extent to which revenues are contracted, barriers to competition and the earnings trend of the business.</w:t>
      </w:r>
      <w:r w:rsidR="006B3F3A">
        <w:rPr>
          <w:rFonts w:ascii="Century Gothic" w:hAnsi="Century Gothic"/>
          <w:sz w:val="18"/>
          <w:szCs w:val="18"/>
          <w:lang w:val="en-AU"/>
        </w:rPr>
        <w:t xml:space="preserve"> </w:t>
      </w:r>
    </w:p>
    <w:p w:rsidR="006B3F3A" w:rsidRDefault="006B3F3A" w:rsidP="002D789D">
      <w:pPr>
        <w:rPr>
          <w:rFonts w:ascii="Century Gothic" w:hAnsi="Century Gothic"/>
          <w:sz w:val="18"/>
          <w:szCs w:val="18"/>
          <w:lang w:val="en-AU"/>
        </w:rPr>
      </w:pPr>
    </w:p>
    <w:p w:rsidR="00BE2653" w:rsidRDefault="00BE2653" w:rsidP="002D789D">
      <w:pPr>
        <w:rPr>
          <w:rFonts w:ascii="Century Gothic" w:hAnsi="Century Gothic"/>
          <w:sz w:val="18"/>
          <w:szCs w:val="18"/>
          <w:lang w:val="en-AU"/>
        </w:rPr>
      </w:pPr>
      <w:r>
        <w:rPr>
          <w:rFonts w:ascii="Century Gothic" w:hAnsi="Century Gothic"/>
          <w:sz w:val="18"/>
          <w:szCs w:val="18"/>
          <w:lang w:val="en-AU"/>
        </w:rPr>
        <w:t xml:space="preserve">It is then critical that the owner and their adviser commence development of the “data room” by capturing key financial, legal and commercial information regarding the business. Once the business is under offer and a prospective buyer commences due diligence, ensuring the data is readily available will assist to maintain momentum and reduce the likelihood of renegotiation or the deal collapsing </w:t>
      </w:r>
      <w:r w:rsidR="005A47E6">
        <w:rPr>
          <w:rFonts w:ascii="Century Gothic" w:hAnsi="Century Gothic"/>
          <w:sz w:val="18"/>
          <w:szCs w:val="18"/>
          <w:lang w:val="en-AU"/>
        </w:rPr>
        <w:t>entirely.</w:t>
      </w:r>
    </w:p>
    <w:p w:rsidR="00B21016" w:rsidRDefault="00B21016" w:rsidP="002D789D">
      <w:pPr>
        <w:rPr>
          <w:rFonts w:ascii="Century Gothic" w:hAnsi="Century Gothic"/>
          <w:sz w:val="18"/>
          <w:szCs w:val="18"/>
          <w:lang w:val="en-AU"/>
        </w:rPr>
      </w:pPr>
    </w:p>
    <w:p w:rsidR="00B21016" w:rsidRDefault="00B21016" w:rsidP="002D789D">
      <w:pPr>
        <w:rPr>
          <w:rFonts w:ascii="Century Gothic" w:hAnsi="Century Gothic"/>
          <w:sz w:val="18"/>
          <w:szCs w:val="18"/>
          <w:lang w:val="en-AU"/>
        </w:rPr>
      </w:pPr>
      <w:r>
        <w:rPr>
          <w:rFonts w:ascii="Century Gothic" w:hAnsi="Century Gothic"/>
          <w:sz w:val="18"/>
          <w:szCs w:val="18"/>
          <w:lang w:val="en-AU"/>
        </w:rPr>
        <w:t xml:space="preserve">As a simple example, the inability to justify earnings normalisations (“add-backs”) can lead to the collapse of a contract which could cost seller and buyers tens of thousands of dollars in professional fees as well as the loss of </w:t>
      </w:r>
      <w:r w:rsidR="007633AC">
        <w:rPr>
          <w:rFonts w:ascii="Century Gothic" w:hAnsi="Century Gothic"/>
          <w:sz w:val="18"/>
          <w:szCs w:val="18"/>
          <w:lang w:val="en-AU"/>
        </w:rPr>
        <w:t>several</w:t>
      </w:r>
      <w:r>
        <w:rPr>
          <w:rFonts w:ascii="Century Gothic" w:hAnsi="Century Gothic"/>
          <w:sz w:val="18"/>
          <w:szCs w:val="18"/>
          <w:lang w:val="en-AU"/>
        </w:rPr>
        <w:t xml:space="preserve"> months</w:t>
      </w:r>
      <w:r w:rsidR="007633AC">
        <w:rPr>
          <w:rFonts w:ascii="Century Gothic" w:hAnsi="Century Gothic"/>
          <w:sz w:val="18"/>
          <w:szCs w:val="18"/>
          <w:lang w:val="en-AU"/>
        </w:rPr>
        <w:t xml:space="preserve"> invested in the sale campaign.</w:t>
      </w:r>
    </w:p>
    <w:p w:rsidR="006B3F3A" w:rsidRDefault="006B3F3A" w:rsidP="002D789D">
      <w:pPr>
        <w:rPr>
          <w:rFonts w:ascii="Century Gothic" w:hAnsi="Century Gothic"/>
          <w:sz w:val="18"/>
          <w:szCs w:val="18"/>
          <w:lang w:val="en-AU"/>
        </w:rPr>
      </w:pPr>
    </w:p>
    <w:p w:rsidR="005A47E6" w:rsidRPr="005A47E6" w:rsidRDefault="005A47E6" w:rsidP="005A47E6">
      <w:pPr>
        <w:rPr>
          <w:rFonts w:ascii="Century Gothic" w:hAnsi="Century Gothic"/>
          <w:b/>
          <w:i/>
          <w:sz w:val="18"/>
          <w:szCs w:val="18"/>
          <w:lang w:val="en-AU"/>
        </w:rPr>
      </w:pPr>
      <w:r>
        <w:rPr>
          <w:rFonts w:ascii="Century Gothic" w:hAnsi="Century Gothic"/>
          <w:b/>
          <w:i/>
          <w:sz w:val="18"/>
          <w:szCs w:val="18"/>
          <w:lang w:val="en-AU"/>
        </w:rPr>
        <w:t>2</w:t>
      </w:r>
      <w:r w:rsidRPr="005A47E6">
        <w:rPr>
          <w:rFonts w:ascii="Century Gothic" w:hAnsi="Century Gothic"/>
          <w:b/>
          <w:i/>
          <w:sz w:val="18"/>
          <w:szCs w:val="18"/>
          <w:lang w:val="en-AU"/>
        </w:rPr>
        <w:t xml:space="preserve">. </w:t>
      </w:r>
      <w:r>
        <w:rPr>
          <w:rFonts w:ascii="Century Gothic" w:hAnsi="Century Gothic"/>
          <w:b/>
          <w:i/>
          <w:sz w:val="18"/>
          <w:szCs w:val="18"/>
          <w:lang w:val="en-AU"/>
        </w:rPr>
        <w:t>Plan for a sophisticated sale process</w:t>
      </w:r>
    </w:p>
    <w:p w:rsidR="006B3F3A" w:rsidRDefault="005A47E6" w:rsidP="005A47E6">
      <w:pPr>
        <w:rPr>
          <w:rFonts w:ascii="Century Gothic" w:hAnsi="Century Gothic"/>
          <w:sz w:val="18"/>
          <w:szCs w:val="18"/>
          <w:lang w:val="en-AU"/>
        </w:rPr>
      </w:pPr>
      <w:r>
        <w:rPr>
          <w:rFonts w:ascii="Century Gothic" w:hAnsi="Century Gothic"/>
          <w:sz w:val="18"/>
          <w:szCs w:val="18"/>
          <w:lang w:val="en-AU"/>
        </w:rPr>
        <w:t>Many small businesses worth less than $1 million are sold by business brokers using traditional reactive marketing channels such as web advertising. With the increasing volume of SMEs available for sale, competition amongst the SMEs to attract buyers will intensify.</w:t>
      </w:r>
    </w:p>
    <w:p w:rsidR="005A47E6" w:rsidRDefault="005A47E6" w:rsidP="005A47E6">
      <w:pPr>
        <w:rPr>
          <w:rFonts w:ascii="Century Gothic" w:hAnsi="Century Gothic"/>
          <w:sz w:val="18"/>
          <w:szCs w:val="18"/>
          <w:lang w:val="en-AU"/>
        </w:rPr>
      </w:pPr>
    </w:p>
    <w:p w:rsidR="007633AC" w:rsidRDefault="005A47E6" w:rsidP="005A47E6">
      <w:pPr>
        <w:rPr>
          <w:rFonts w:ascii="Century Gothic" w:hAnsi="Century Gothic"/>
          <w:sz w:val="18"/>
          <w:szCs w:val="18"/>
          <w:lang w:val="en-AU"/>
        </w:rPr>
      </w:pPr>
      <w:r>
        <w:rPr>
          <w:rFonts w:ascii="Century Gothic" w:hAnsi="Century Gothic"/>
          <w:sz w:val="18"/>
          <w:szCs w:val="18"/>
          <w:lang w:val="en-AU"/>
        </w:rPr>
        <w:t xml:space="preserve">Business owners who are seeking to exit for an optimal outcome will need to </w:t>
      </w:r>
      <w:r w:rsidR="00C46148">
        <w:rPr>
          <w:rFonts w:ascii="Century Gothic" w:hAnsi="Century Gothic"/>
          <w:sz w:val="18"/>
          <w:szCs w:val="18"/>
          <w:lang w:val="en-AU"/>
        </w:rPr>
        <w:t xml:space="preserve">employ sophisticated sale campaigns to generate </w:t>
      </w:r>
      <w:r w:rsidR="007633AC">
        <w:rPr>
          <w:rFonts w:ascii="Century Gothic" w:hAnsi="Century Gothic"/>
          <w:sz w:val="18"/>
          <w:szCs w:val="18"/>
          <w:lang w:val="en-AU"/>
        </w:rPr>
        <w:t xml:space="preserve">greater </w:t>
      </w:r>
      <w:r w:rsidR="00C46148">
        <w:rPr>
          <w:rFonts w:ascii="Century Gothic" w:hAnsi="Century Gothic"/>
          <w:sz w:val="18"/>
          <w:szCs w:val="18"/>
          <w:lang w:val="en-AU"/>
        </w:rPr>
        <w:t xml:space="preserve">awareness and highlight the </w:t>
      </w:r>
      <w:r w:rsidR="007633AC">
        <w:rPr>
          <w:rFonts w:ascii="Century Gothic" w:hAnsi="Century Gothic"/>
          <w:sz w:val="18"/>
          <w:szCs w:val="18"/>
          <w:lang w:val="en-AU"/>
        </w:rPr>
        <w:t xml:space="preserve">specific </w:t>
      </w:r>
      <w:r w:rsidR="00C46148">
        <w:rPr>
          <w:rFonts w:ascii="Century Gothic" w:hAnsi="Century Gothic"/>
          <w:sz w:val="18"/>
          <w:szCs w:val="18"/>
          <w:lang w:val="en-AU"/>
        </w:rPr>
        <w:t xml:space="preserve">benefits of their business. </w:t>
      </w:r>
    </w:p>
    <w:p w:rsidR="007633AC" w:rsidRDefault="007633AC" w:rsidP="005A47E6">
      <w:pPr>
        <w:rPr>
          <w:rFonts w:ascii="Century Gothic" w:hAnsi="Century Gothic"/>
          <w:sz w:val="18"/>
          <w:szCs w:val="18"/>
          <w:lang w:val="en-AU"/>
        </w:rPr>
      </w:pPr>
    </w:p>
    <w:p w:rsidR="005A47E6" w:rsidRDefault="00C46148" w:rsidP="005A47E6">
      <w:pPr>
        <w:rPr>
          <w:rFonts w:ascii="Century Gothic" w:hAnsi="Century Gothic"/>
          <w:sz w:val="18"/>
          <w:szCs w:val="18"/>
          <w:lang w:val="en-AU"/>
        </w:rPr>
      </w:pPr>
      <w:r>
        <w:rPr>
          <w:rFonts w:ascii="Century Gothic" w:hAnsi="Century Gothic"/>
          <w:sz w:val="18"/>
          <w:szCs w:val="18"/>
          <w:lang w:val="en-AU"/>
        </w:rPr>
        <w:t>To be successful, sale campaigns may include:</w:t>
      </w:r>
    </w:p>
    <w:p w:rsidR="005A47E6" w:rsidRPr="005B51ED" w:rsidRDefault="00C46148" w:rsidP="005B51ED">
      <w:pPr>
        <w:pStyle w:val="ListParagraph"/>
        <w:numPr>
          <w:ilvl w:val="0"/>
          <w:numId w:val="27"/>
        </w:numPr>
        <w:rPr>
          <w:rFonts w:ascii="Century Gothic" w:hAnsi="Century Gothic"/>
          <w:sz w:val="18"/>
          <w:szCs w:val="18"/>
        </w:rPr>
      </w:pPr>
      <w:r w:rsidRPr="005B51ED">
        <w:rPr>
          <w:rFonts w:ascii="Century Gothic" w:hAnsi="Century Gothic"/>
          <w:sz w:val="18"/>
          <w:szCs w:val="18"/>
        </w:rPr>
        <w:t>Direct approach to industry buyers through a competitive expression of interest program detailing the strategic advantages of the acquisition of the SME.</w:t>
      </w:r>
    </w:p>
    <w:p w:rsidR="00C46148" w:rsidRPr="005B51ED" w:rsidRDefault="00C46148" w:rsidP="005B51ED">
      <w:pPr>
        <w:pStyle w:val="ListParagraph"/>
        <w:numPr>
          <w:ilvl w:val="0"/>
          <w:numId w:val="27"/>
        </w:numPr>
        <w:rPr>
          <w:rFonts w:ascii="Century Gothic" w:hAnsi="Century Gothic"/>
          <w:sz w:val="18"/>
          <w:szCs w:val="18"/>
        </w:rPr>
      </w:pPr>
      <w:r w:rsidRPr="005B51ED">
        <w:rPr>
          <w:rFonts w:ascii="Century Gothic" w:hAnsi="Century Gothic"/>
          <w:sz w:val="18"/>
          <w:szCs w:val="18"/>
        </w:rPr>
        <w:t xml:space="preserve">Rigorous financial analysis that will support </w:t>
      </w:r>
      <w:r w:rsidR="007633AC">
        <w:rPr>
          <w:rFonts w:ascii="Century Gothic" w:hAnsi="Century Gothic"/>
          <w:sz w:val="18"/>
          <w:szCs w:val="18"/>
        </w:rPr>
        <w:t xml:space="preserve">credible </w:t>
      </w:r>
      <w:r w:rsidRPr="005B51ED">
        <w:rPr>
          <w:rFonts w:ascii="Century Gothic" w:hAnsi="Century Gothic"/>
          <w:sz w:val="18"/>
          <w:szCs w:val="18"/>
        </w:rPr>
        <w:t>marketing to private equity and family office targets as a financial investment</w:t>
      </w:r>
      <w:r w:rsidR="005B51ED">
        <w:rPr>
          <w:rFonts w:ascii="Century Gothic" w:hAnsi="Century Gothic"/>
          <w:sz w:val="18"/>
          <w:szCs w:val="18"/>
        </w:rPr>
        <w:t>.</w:t>
      </w:r>
    </w:p>
    <w:p w:rsidR="00C46148" w:rsidRPr="005B51ED" w:rsidRDefault="00C46148" w:rsidP="005B51ED">
      <w:pPr>
        <w:pStyle w:val="ListParagraph"/>
        <w:numPr>
          <w:ilvl w:val="0"/>
          <w:numId w:val="27"/>
        </w:numPr>
        <w:rPr>
          <w:rFonts w:ascii="Century Gothic" w:hAnsi="Century Gothic"/>
          <w:sz w:val="18"/>
          <w:szCs w:val="18"/>
        </w:rPr>
      </w:pPr>
      <w:r w:rsidRPr="005B51ED">
        <w:rPr>
          <w:rFonts w:ascii="Century Gothic" w:hAnsi="Century Gothic"/>
          <w:sz w:val="18"/>
          <w:szCs w:val="18"/>
        </w:rPr>
        <w:t xml:space="preserve">Modelling of a leveraged buy-out with </w:t>
      </w:r>
      <w:r w:rsidR="007633AC">
        <w:rPr>
          <w:rFonts w:ascii="Century Gothic" w:hAnsi="Century Gothic"/>
          <w:sz w:val="18"/>
          <w:szCs w:val="18"/>
        </w:rPr>
        <w:t xml:space="preserve">the payment of </w:t>
      </w:r>
      <w:r w:rsidRPr="005B51ED">
        <w:rPr>
          <w:rFonts w:ascii="Century Gothic" w:hAnsi="Century Gothic"/>
          <w:sz w:val="18"/>
          <w:szCs w:val="18"/>
        </w:rPr>
        <w:t>fully-franked dividends to attract investment syndicates</w:t>
      </w:r>
      <w:r w:rsidR="005B51ED">
        <w:rPr>
          <w:rFonts w:ascii="Century Gothic" w:hAnsi="Century Gothic"/>
          <w:sz w:val="18"/>
          <w:szCs w:val="18"/>
        </w:rPr>
        <w:t>.</w:t>
      </w:r>
    </w:p>
    <w:p w:rsidR="00C46148" w:rsidRPr="005B51ED" w:rsidRDefault="00C46148" w:rsidP="005B51ED">
      <w:pPr>
        <w:pStyle w:val="ListParagraph"/>
        <w:numPr>
          <w:ilvl w:val="0"/>
          <w:numId w:val="27"/>
        </w:numPr>
        <w:rPr>
          <w:rFonts w:ascii="Century Gothic" w:hAnsi="Century Gothic"/>
          <w:sz w:val="18"/>
          <w:szCs w:val="18"/>
        </w:rPr>
      </w:pPr>
      <w:r w:rsidRPr="005B51ED">
        <w:rPr>
          <w:rFonts w:ascii="Century Gothic" w:hAnsi="Century Gothic"/>
          <w:sz w:val="18"/>
          <w:szCs w:val="18"/>
        </w:rPr>
        <w:t>Promotion to international trade and financial buyers</w:t>
      </w:r>
      <w:r w:rsidR="007633AC">
        <w:rPr>
          <w:rFonts w:ascii="Century Gothic" w:hAnsi="Century Gothic"/>
          <w:sz w:val="18"/>
          <w:szCs w:val="18"/>
        </w:rPr>
        <w:t xml:space="preserve"> with appropriate professional support to enable them to efficiently enter the Australian market</w:t>
      </w:r>
      <w:r w:rsidR="005B51ED">
        <w:rPr>
          <w:rFonts w:ascii="Century Gothic" w:hAnsi="Century Gothic"/>
          <w:sz w:val="18"/>
          <w:szCs w:val="18"/>
        </w:rPr>
        <w:t>.</w:t>
      </w:r>
    </w:p>
    <w:p w:rsidR="00C46148" w:rsidRPr="005B51ED" w:rsidRDefault="00C46148" w:rsidP="005B51ED">
      <w:pPr>
        <w:pStyle w:val="ListParagraph"/>
        <w:numPr>
          <w:ilvl w:val="0"/>
          <w:numId w:val="27"/>
        </w:numPr>
        <w:rPr>
          <w:rFonts w:ascii="Century Gothic" w:hAnsi="Century Gothic"/>
          <w:sz w:val="18"/>
          <w:szCs w:val="18"/>
        </w:rPr>
      </w:pPr>
      <w:r w:rsidRPr="005B51ED">
        <w:rPr>
          <w:rFonts w:ascii="Century Gothic" w:hAnsi="Century Gothic"/>
          <w:sz w:val="18"/>
          <w:szCs w:val="18"/>
        </w:rPr>
        <w:t xml:space="preserve">Marketing to Asian buyers with support to </w:t>
      </w:r>
      <w:r w:rsidR="007633AC">
        <w:rPr>
          <w:rFonts w:ascii="Century Gothic" w:hAnsi="Century Gothic"/>
          <w:sz w:val="18"/>
          <w:szCs w:val="18"/>
        </w:rPr>
        <w:t>assist with</w:t>
      </w:r>
      <w:r w:rsidRPr="005B51ED">
        <w:rPr>
          <w:rFonts w:ascii="Century Gothic" w:hAnsi="Century Gothic"/>
          <w:sz w:val="18"/>
          <w:szCs w:val="18"/>
        </w:rPr>
        <w:t xml:space="preserve"> their visa applications (where applicable)</w:t>
      </w:r>
      <w:r w:rsidR="005B51ED">
        <w:rPr>
          <w:rFonts w:ascii="Century Gothic" w:hAnsi="Century Gothic"/>
          <w:sz w:val="18"/>
          <w:szCs w:val="18"/>
        </w:rPr>
        <w:t>.</w:t>
      </w:r>
    </w:p>
    <w:p w:rsidR="00C46148" w:rsidRPr="005B51ED" w:rsidRDefault="00C46148" w:rsidP="005B51ED">
      <w:pPr>
        <w:pStyle w:val="ListParagraph"/>
        <w:numPr>
          <w:ilvl w:val="0"/>
          <w:numId w:val="27"/>
        </w:numPr>
        <w:rPr>
          <w:rFonts w:ascii="Century Gothic" w:hAnsi="Century Gothic"/>
          <w:sz w:val="18"/>
          <w:szCs w:val="18"/>
        </w:rPr>
      </w:pPr>
      <w:r w:rsidRPr="005B51ED">
        <w:rPr>
          <w:rFonts w:ascii="Century Gothic" w:hAnsi="Century Gothic"/>
          <w:sz w:val="18"/>
          <w:szCs w:val="18"/>
        </w:rPr>
        <w:t>Merger or roll-up</w:t>
      </w:r>
      <w:r w:rsidR="005B51ED" w:rsidRPr="005B51ED">
        <w:rPr>
          <w:rFonts w:ascii="Century Gothic" w:hAnsi="Century Gothic"/>
          <w:sz w:val="18"/>
          <w:szCs w:val="18"/>
        </w:rPr>
        <w:t xml:space="preserve"> with </w:t>
      </w:r>
      <w:r w:rsidR="007633AC">
        <w:rPr>
          <w:rFonts w:ascii="Century Gothic" w:hAnsi="Century Gothic"/>
          <w:sz w:val="18"/>
          <w:szCs w:val="18"/>
        </w:rPr>
        <w:t xml:space="preserve">other </w:t>
      </w:r>
      <w:r w:rsidR="005B51ED" w:rsidRPr="005B51ED">
        <w:rPr>
          <w:rFonts w:ascii="Century Gothic" w:hAnsi="Century Gothic"/>
          <w:sz w:val="18"/>
          <w:szCs w:val="18"/>
        </w:rPr>
        <w:t>SMEs within the same industry, adjacent industry or within the supply chain (</w:t>
      </w:r>
      <w:r w:rsidR="007668E0">
        <w:rPr>
          <w:rFonts w:ascii="Century Gothic" w:hAnsi="Century Gothic"/>
          <w:sz w:val="18"/>
          <w:szCs w:val="18"/>
        </w:rPr>
        <w:t>i.e.</w:t>
      </w:r>
      <w:r w:rsidR="007633AC">
        <w:rPr>
          <w:rFonts w:ascii="Century Gothic" w:hAnsi="Century Gothic"/>
          <w:sz w:val="18"/>
          <w:szCs w:val="18"/>
        </w:rPr>
        <w:t xml:space="preserve"> </w:t>
      </w:r>
      <w:r w:rsidR="005B51ED" w:rsidRPr="005B51ED">
        <w:rPr>
          <w:rFonts w:ascii="Century Gothic" w:hAnsi="Century Gothic"/>
          <w:sz w:val="18"/>
          <w:szCs w:val="18"/>
        </w:rPr>
        <w:t>vertical integration) as a transitionary step to complete exit.</w:t>
      </w:r>
    </w:p>
    <w:p w:rsidR="00C46148" w:rsidRDefault="00C46148" w:rsidP="005A47E6">
      <w:pPr>
        <w:rPr>
          <w:rFonts w:ascii="Century Gothic" w:hAnsi="Century Gothic"/>
          <w:sz w:val="18"/>
          <w:szCs w:val="18"/>
          <w:lang w:val="en-AU"/>
        </w:rPr>
      </w:pPr>
    </w:p>
    <w:p w:rsidR="005B51ED" w:rsidRPr="005B51ED" w:rsidRDefault="005B51ED" w:rsidP="005B51ED">
      <w:pPr>
        <w:rPr>
          <w:rFonts w:ascii="Century Gothic" w:hAnsi="Century Gothic"/>
          <w:b/>
          <w:i/>
          <w:sz w:val="18"/>
          <w:szCs w:val="18"/>
          <w:lang w:val="en-AU"/>
        </w:rPr>
      </w:pPr>
      <w:r>
        <w:rPr>
          <w:rFonts w:ascii="Century Gothic" w:hAnsi="Century Gothic"/>
          <w:b/>
          <w:i/>
          <w:sz w:val="18"/>
          <w:szCs w:val="18"/>
          <w:lang w:val="en-AU"/>
        </w:rPr>
        <w:t>3</w:t>
      </w:r>
      <w:r w:rsidRPr="005B51ED">
        <w:rPr>
          <w:rFonts w:ascii="Century Gothic" w:hAnsi="Century Gothic"/>
          <w:b/>
          <w:i/>
          <w:sz w:val="18"/>
          <w:szCs w:val="18"/>
          <w:lang w:val="en-AU"/>
        </w:rPr>
        <w:t xml:space="preserve">. </w:t>
      </w:r>
      <w:r>
        <w:rPr>
          <w:rFonts w:ascii="Century Gothic" w:hAnsi="Century Gothic"/>
          <w:b/>
          <w:i/>
          <w:sz w:val="18"/>
          <w:szCs w:val="18"/>
          <w:lang w:val="en-AU"/>
        </w:rPr>
        <w:t>Access capable M&amp;A advisory expertise with demonstrable ROI</w:t>
      </w:r>
    </w:p>
    <w:p w:rsidR="005B51ED" w:rsidRDefault="009E362F" w:rsidP="005B51ED">
      <w:pPr>
        <w:rPr>
          <w:rFonts w:ascii="Century Gothic" w:hAnsi="Century Gothic"/>
          <w:sz w:val="18"/>
          <w:szCs w:val="18"/>
          <w:lang w:val="en-AU"/>
        </w:rPr>
      </w:pPr>
      <w:r>
        <w:rPr>
          <w:rFonts w:ascii="Century Gothic" w:hAnsi="Century Gothic"/>
          <w:sz w:val="18"/>
          <w:szCs w:val="18"/>
          <w:lang w:val="en-AU"/>
        </w:rPr>
        <w:t xml:space="preserve">Owners who are planning to divest should ensure they have adequate expertise to properly prepare the business for sale. This requires experience in both the sell </w:t>
      </w:r>
      <w:r w:rsidR="007633AC">
        <w:rPr>
          <w:rFonts w:ascii="Century Gothic" w:hAnsi="Century Gothic"/>
          <w:sz w:val="18"/>
          <w:szCs w:val="18"/>
          <w:lang w:val="en-AU"/>
        </w:rPr>
        <w:t xml:space="preserve">side </w:t>
      </w:r>
      <w:r>
        <w:rPr>
          <w:rFonts w:ascii="Century Gothic" w:hAnsi="Century Gothic"/>
          <w:sz w:val="18"/>
          <w:szCs w:val="18"/>
          <w:lang w:val="en-AU"/>
        </w:rPr>
        <w:t xml:space="preserve">and buy side of SMEs to understand what trade buyers, financial buyers and individuals </w:t>
      </w:r>
      <w:r w:rsidR="007633AC">
        <w:rPr>
          <w:rFonts w:ascii="Century Gothic" w:hAnsi="Century Gothic"/>
          <w:sz w:val="18"/>
          <w:szCs w:val="18"/>
          <w:lang w:val="en-AU"/>
        </w:rPr>
        <w:t xml:space="preserve">will </w:t>
      </w:r>
      <w:r>
        <w:rPr>
          <w:rFonts w:ascii="Century Gothic" w:hAnsi="Century Gothic"/>
          <w:sz w:val="18"/>
          <w:szCs w:val="18"/>
          <w:lang w:val="en-AU"/>
        </w:rPr>
        <w:t>look for when they assess the business.</w:t>
      </w:r>
    </w:p>
    <w:p w:rsidR="009E362F" w:rsidRDefault="009E362F" w:rsidP="005B51ED">
      <w:pPr>
        <w:rPr>
          <w:rFonts w:ascii="Century Gothic" w:hAnsi="Century Gothic"/>
          <w:sz w:val="18"/>
          <w:szCs w:val="18"/>
          <w:lang w:val="en-AU"/>
        </w:rPr>
      </w:pPr>
    </w:p>
    <w:p w:rsidR="009E362F" w:rsidRDefault="009E362F" w:rsidP="005B51ED">
      <w:pPr>
        <w:rPr>
          <w:rFonts w:ascii="Century Gothic" w:hAnsi="Century Gothic"/>
          <w:sz w:val="18"/>
          <w:szCs w:val="18"/>
          <w:lang w:val="en-AU"/>
        </w:rPr>
      </w:pPr>
      <w:r>
        <w:rPr>
          <w:rFonts w:ascii="Century Gothic" w:hAnsi="Century Gothic"/>
          <w:sz w:val="18"/>
          <w:szCs w:val="18"/>
          <w:lang w:val="en-AU"/>
        </w:rPr>
        <w:t xml:space="preserve">Owners who are considering acquisitions must plan for the acquisition, negotiation and </w:t>
      </w:r>
      <w:r w:rsidR="007633AC">
        <w:rPr>
          <w:rFonts w:ascii="Century Gothic" w:hAnsi="Century Gothic"/>
          <w:sz w:val="18"/>
          <w:szCs w:val="18"/>
          <w:lang w:val="en-AU"/>
        </w:rPr>
        <w:t xml:space="preserve">completion of the </w:t>
      </w:r>
      <w:r>
        <w:rPr>
          <w:rFonts w:ascii="Century Gothic" w:hAnsi="Century Gothic"/>
          <w:sz w:val="18"/>
          <w:szCs w:val="18"/>
          <w:lang w:val="en-AU"/>
        </w:rPr>
        <w:t xml:space="preserve">transaction. As importantly, they must be equipped to complete the post-merger integration </w:t>
      </w:r>
      <w:r w:rsidR="007633AC">
        <w:rPr>
          <w:rFonts w:ascii="Century Gothic" w:hAnsi="Century Gothic"/>
          <w:sz w:val="18"/>
          <w:szCs w:val="18"/>
          <w:lang w:val="en-AU"/>
        </w:rPr>
        <w:t xml:space="preserve">of the acquisition </w:t>
      </w:r>
      <w:r>
        <w:rPr>
          <w:rFonts w:ascii="Century Gothic" w:hAnsi="Century Gothic"/>
          <w:sz w:val="18"/>
          <w:szCs w:val="18"/>
          <w:lang w:val="en-AU"/>
        </w:rPr>
        <w:t>to ensure synergies are harvested and the acquisition delivers the benefits that were modelled prior to the transaction.</w:t>
      </w:r>
    </w:p>
    <w:p w:rsidR="005B51ED" w:rsidRDefault="005B51ED" w:rsidP="005B51ED">
      <w:pPr>
        <w:rPr>
          <w:rFonts w:ascii="Century Gothic" w:hAnsi="Century Gothic"/>
          <w:sz w:val="18"/>
          <w:szCs w:val="18"/>
          <w:lang w:val="en-AU"/>
        </w:rPr>
      </w:pPr>
    </w:p>
    <w:p w:rsidR="005B51ED" w:rsidRDefault="005B51ED" w:rsidP="005B51ED">
      <w:pPr>
        <w:rPr>
          <w:rFonts w:ascii="Century Gothic" w:hAnsi="Century Gothic"/>
          <w:sz w:val="18"/>
          <w:szCs w:val="18"/>
          <w:lang w:val="en-AU"/>
        </w:rPr>
      </w:pPr>
      <w:r>
        <w:rPr>
          <w:rFonts w:ascii="Century Gothic" w:hAnsi="Century Gothic"/>
          <w:sz w:val="18"/>
          <w:szCs w:val="18"/>
          <w:lang w:val="en-AU"/>
        </w:rPr>
        <w:t xml:space="preserve">Most SME owners will engage advisers such as their accountants, lawyers, M&amp;A professionals and/or corporate advisers to assist them with </w:t>
      </w:r>
      <w:r w:rsidR="009E362F">
        <w:rPr>
          <w:rFonts w:ascii="Century Gothic" w:hAnsi="Century Gothic"/>
          <w:sz w:val="18"/>
          <w:szCs w:val="18"/>
          <w:lang w:val="en-AU"/>
        </w:rPr>
        <w:t xml:space="preserve">the M&amp;A process. In doing so, the owners should ensure their advisers have the relevant experience with comparable transactions. Importantly, owners should engage advisers with </w:t>
      </w:r>
      <w:r w:rsidR="006161BC">
        <w:rPr>
          <w:rFonts w:ascii="Century Gothic" w:hAnsi="Century Gothic"/>
          <w:sz w:val="18"/>
          <w:szCs w:val="18"/>
          <w:lang w:val="en-AU"/>
        </w:rPr>
        <w:t xml:space="preserve">some </w:t>
      </w:r>
      <w:r w:rsidR="009E362F">
        <w:rPr>
          <w:rFonts w:ascii="Century Gothic" w:hAnsi="Century Gothic"/>
          <w:sz w:val="18"/>
          <w:szCs w:val="18"/>
          <w:lang w:val="en-AU"/>
        </w:rPr>
        <w:t>element of remuneration based on outcome.</w:t>
      </w:r>
      <w:r w:rsidR="001F5F5A">
        <w:rPr>
          <w:rFonts w:ascii="Century Gothic" w:hAnsi="Century Gothic"/>
          <w:sz w:val="18"/>
          <w:szCs w:val="18"/>
          <w:lang w:val="en-AU"/>
        </w:rPr>
        <w:t xml:space="preserve"> This will enhance the alignment of interests between the SME owner and their adviser. Importantly, it will enable the owner to measure </w:t>
      </w:r>
      <w:r w:rsidR="006161BC">
        <w:rPr>
          <w:rFonts w:ascii="Century Gothic" w:hAnsi="Century Gothic"/>
          <w:sz w:val="18"/>
          <w:szCs w:val="18"/>
          <w:lang w:val="en-AU"/>
        </w:rPr>
        <w:t>the</w:t>
      </w:r>
      <w:r w:rsidR="001F5F5A">
        <w:rPr>
          <w:rFonts w:ascii="Century Gothic" w:hAnsi="Century Gothic"/>
          <w:sz w:val="18"/>
          <w:szCs w:val="18"/>
          <w:lang w:val="en-AU"/>
        </w:rPr>
        <w:t xml:space="preserve"> tangible return on investment they receive from their advisory fees.</w:t>
      </w:r>
    </w:p>
    <w:p w:rsidR="004A3DFE" w:rsidRDefault="004A3DFE" w:rsidP="00651210">
      <w:pPr>
        <w:rPr>
          <w:rFonts w:ascii="Century Gothic" w:hAnsi="Century Gothic"/>
          <w:sz w:val="18"/>
          <w:szCs w:val="18"/>
          <w:lang w:val="en-AU"/>
        </w:rPr>
      </w:pPr>
    </w:p>
    <w:p w:rsidR="004A3DFE" w:rsidRPr="00E42B30" w:rsidRDefault="004A3DFE" w:rsidP="00651210">
      <w:pPr>
        <w:rPr>
          <w:rFonts w:ascii="Century Gothic" w:hAnsi="Century Gothic"/>
          <w:b/>
          <w:color w:val="1F497D" w:themeColor="text2"/>
          <w:sz w:val="18"/>
          <w:szCs w:val="18"/>
          <w:lang w:val="en-AU"/>
        </w:rPr>
      </w:pPr>
      <w:r w:rsidRPr="00E42B30">
        <w:rPr>
          <w:rFonts w:ascii="Century Gothic" w:hAnsi="Century Gothic"/>
          <w:b/>
          <w:color w:val="1F497D" w:themeColor="text2"/>
          <w:sz w:val="18"/>
          <w:szCs w:val="18"/>
          <w:lang w:val="en-AU"/>
        </w:rPr>
        <w:t>For more information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9"/>
        <w:gridCol w:w="5239"/>
      </w:tblGrid>
      <w:tr w:rsidR="004A3DFE" w:rsidTr="00AD75E4">
        <w:tc>
          <w:tcPr>
            <w:tcW w:w="5239" w:type="dxa"/>
          </w:tcPr>
          <w:p w:rsidR="004A3DFE" w:rsidRDefault="004A3DFE" w:rsidP="00651210">
            <w:pPr>
              <w:rPr>
                <w:rFonts w:ascii="Century Gothic" w:hAnsi="Century Gothic"/>
                <w:sz w:val="18"/>
                <w:szCs w:val="18"/>
                <w:lang w:val="en-AU"/>
              </w:rPr>
            </w:pPr>
            <w:r>
              <w:rPr>
                <w:rFonts w:ascii="Century Gothic" w:hAnsi="Century Gothic"/>
                <w:sz w:val="18"/>
                <w:szCs w:val="18"/>
                <w:lang w:val="en-AU"/>
              </w:rPr>
              <w:t xml:space="preserve">Marcus Salouk </w:t>
            </w:r>
            <w:r w:rsidR="0083556B">
              <w:rPr>
                <w:rFonts w:ascii="Century Gothic" w:hAnsi="Century Gothic"/>
                <w:sz w:val="18"/>
                <w:szCs w:val="18"/>
                <w:lang w:val="en-AU"/>
              </w:rPr>
              <w:t xml:space="preserve">- </w:t>
            </w:r>
            <w:r>
              <w:rPr>
                <w:rFonts w:ascii="Century Gothic" w:hAnsi="Century Gothic"/>
                <w:sz w:val="18"/>
                <w:szCs w:val="18"/>
                <w:lang w:val="en-AU"/>
              </w:rPr>
              <w:t>Director Scan Capital</w:t>
            </w:r>
          </w:p>
        </w:tc>
        <w:tc>
          <w:tcPr>
            <w:tcW w:w="5239" w:type="dxa"/>
          </w:tcPr>
          <w:p w:rsidR="004A3DFE" w:rsidRDefault="004A3DFE" w:rsidP="00651210">
            <w:pPr>
              <w:rPr>
                <w:rFonts w:ascii="Century Gothic" w:hAnsi="Century Gothic"/>
                <w:sz w:val="18"/>
                <w:szCs w:val="18"/>
                <w:lang w:val="en-AU"/>
              </w:rPr>
            </w:pPr>
            <w:r>
              <w:rPr>
                <w:rFonts w:ascii="Century Gothic" w:hAnsi="Century Gothic"/>
                <w:sz w:val="18"/>
                <w:szCs w:val="18"/>
                <w:lang w:val="en-AU"/>
              </w:rPr>
              <w:t xml:space="preserve">Ian Knight </w:t>
            </w:r>
            <w:r w:rsidR="0083556B">
              <w:rPr>
                <w:rFonts w:ascii="Century Gothic" w:hAnsi="Century Gothic"/>
                <w:sz w:val="18"/>
                <w:szCs w:val="18"/>
                <w:lang w:val="en-AU"/>
              </w:rPr>
              <w:t xml:space="preserve">- </w:t>
            </w:r>
            <w:r>
              <w:rPr>
                <w:rFonts w:ascii="Century Gothic" w:hAnsi="Century Gothic"/>
                <w:sz w:val="18"/>
                <w:szCs w:val="18"/>
                <w:lang w:val="en-AU"/>
              </w:rPr>
              <w:t>Director Scancorp (Victoria)</w:t>
            </w:r>
          </w:p>
        </w:tc>
      </w:tr>
      <w:tr w:rsidR="004A3DFE" w:rsidTr="00AD75E4">
        <w:tc>
          <w:tcPr>
            <w:tcW w:w="5239" w:type="dxa"/>
          </w:tcPr>
          <w:p w:rsidR="004A3DFE" w:rsidRDefault="00AD75E4" w:rsidP="00651210">
            <w:pPr>
              <w:rPr>
                <w:rFonts w:ascii="Century Gothic" w:hAnsi="Century Gothic"/>
                <w:sz w:val="18"/>
                <w:szCs w:val="18"/>
                <w:lang w:val="en-AU"/>
              </w:rPr>
            </w:pPr>
            <w:r w:rsidRPr="00AD75E4">
              <w:rPr>
                <w:b/>
              </w:rPr>
              <w:t xml:space="preserve">E: </w:t>
            </w:r>
            <w:hyperlink r:id="rId7" w:history="1">
              <w:r w:rsidR="004A3DFE" w:rsidRPr="00BA7BD9">
                <w:rPr>
                  <w:rStyle w:val="Hyperlink"/>
                </w:rPr>
                <w:t>m</w:t>
              </w:r>
              <w:r w:rsidR="004A3DFE" w:rsidRPr="00BA7BD9">
                <w:rPr>
                  <w:rStyle w:val="Hyperlink"/>
                  <w:rFonts w:ascii="Century Gothic" w:hAnsi="Century Gothic"/>
                  <w:sz w:val="18"/>
                  <w:szCs w:val="18"/>
                  <w:lang w:val="en-AU"/>
                </w:rPr>
                <w:t>arcus.salouk@scancorp.com.au</w:t>
              </w:r>
            </w:hyperlink>
          </w:p>
          <w:p w:rsidR="004A3DFE" w:rsidRDefault="00AD75E4" w:rsidP="00651210">
            <w:pPr>
              <w:rPr>
                <w:rFonts w:ascii="Century Gothic" w:hAnsi="Century Gothic"/>
                <w:sz w:val="18"/>
                <w:szCs w:val="18"/>
                <w:lang w:val="en-AU"/>
              </w:rPr>
            </w:pPr>
            <w:r w:rsidRPr="00AD75E4">
              <w:rPr>
                <w:rFonts w:ascii="Century Gothic" w:hAnsi="Century Gothic"/>
                <w:b/>
                <w:sz w:val="18"/>
                <w:szCs w:val="18"/>
                <w:lang w:val="en-AU"/>
              </w:rPr>
              <w:t xml:space="preserve">T: </w:t>
            </w:r>
            <w:r>
              <w:rPr>
                <w:rFonts w:ascii="Century Gothic" w:hAnsi="Century Gothic"/>
                <w:sz w:val="18"/>
                <w:szCs w:val="18"/>
                <w:lang w:val="en-AU"/>
              </w:rPr>
              <w:t>(07) 3902 2400</w:t>
            </w:r>
          </w:p>
        </w:tc>
        <w:tc>
          <w:tcPr>
            <w:tcW w:w="5239" w:type="dxa"/>
          </w:tcPr>
          <w:p w:rsidR="004A3DFE" w:rsidRDefault="00AD75E4" w:rsidP="00651210">
            <w:pPr>
              <w:rPr>
                <w:rFonts w:ascii="Century Gothic" w:hAnsi="Century Gothic"/>
                <w:sz w:val="18"/>
                <w:szCs w:val="18"/>
                <w:lang w:val="en-AU"/>
              </w:rPr>
            </w:pPr>
            <w:r w:rsidRPr="00AD75E4">
              <w:rPr>
                <w:b/>
              </w:rPr>
              <w:t xml:space="preserve">E: </w:t>
            </w:r>
            <w:hyperlink r:id="rId8" w:history="1">
              <w:r w:rsidRPr="00BA7BD9">
                <w:rPr>
                  <w:rStyle w:val="Hyperlink"/>
                </w:rPr>
                <w:t>i</w:t>
              </w:r>
              <w:r w:rsidRPr="00BA7BD9">
                <w:rPr>
                  <w:rStyle w:val="Hyperlink"/>
                  <w:rFonts w:ascii="Century Gothic" w:hAnsi="Century Gothic"/>
                  <w:sz w:val="18"/>
                  <w:szCs w:val="18"/>
                  <w:lang w:val="en-AU"/>
                </w:rPr>
                <w:t>an.knight@scancorp.com.au</w:t>
              </w:r>
            </w:hyperlink>
          </w:p>
          <w:p w:rsidR="00AD75E4" w:rsidRDefault="00AD75E4" w:rsidP="00651210">
            <w:pPr>
              <w:rPr>
                <w:rFonts w:ascii="Century Gothic" w:hAnsi="Century Gothic"/>
                <w:sz w:val="18"/>
                <w:szCs w:val="18"/>
                <w:lang w:val="en-AU"/>
              </w:rPr>
            </w:pPr>
            <w:r>
              <w:rPr>
                <w:rFonts w:ascii="Century Gothic" w:hAnsi="Century Gothic"/>
                <w:b/>
                <w:sz w:val="18"/>
                <w:szCs w:val="18"/>
              </w:rPr>
              <w:t>T</w:t>
            </w:r>
            <w:r w:rsidRPr="00AD75E4">
              <w:rPr>
                <w:rFonts w:ascii="Century Gothic" w:hAnsi="Century Gothic"/>
                <w:b/>
                <w:sz w:val="18"/>
                <w:szCs w:val="18"/>
              </w:rPr>
              <w:t xml:space="preserve">: </w:t>
            </w:r>
            <w:r>
              <w:rPr>
                <w:rFonts w:ascii="Century Gothic" w:hAnsi="Century Gothic"/>
                <w:sz w:val="18"/>
                <w:szCs w:val="18"/>
                <w:lang w:val="en-AU"/>
              </w:rPr>
              <w:t>(</w:t>
            </w:r>
            <w:r w:rsidRPr="00AD75E4">
              <w:rPr>
                <w:rFonts w:ascii="Century Gothic" w:hAnsi="Century Gothic"/>
                <w:sz w:val="18"/>
                <w:szCs w:val="18"/>
                <w:lang w:val="en-AU"/>
              </w:rPr>
              <w:t>03</w:t>
            </w:r>
            <w:r>
              <w:rPr>
                <w:rFonts w:ascii="Century Gothic" w:hAnsi="Century Gothic"/>
                <w:sz w:val="18"/>
                <w:szCs w:val="18"/>
                <w:lang w:val="en-AU"/>
              </w:rPr>
              <w:t>)</w:t>
            </w:r>
            <w:r w:rsidRPr="00AD75E4">
              <w:rPr>
                <w:rFonts w:ascii="Century Gothic" w:hAnsi="Century Gothic"/>
                <w:sz w:val="18"/>
                <w:szCs w:val="18"/>
                <w:lang w:val="en-AU"/>
              </w:rPr>
              <w:t xml:space="preserve"> 9013 7226</w:t>
            </w:r>
          </w:p>
        </w:tc>
      </w:tr>
    </w:tbl>
    <w:p w:rsidR="004A3DFE" w:rsidRPr="00D41C85" w:rsidRDefault="004A3DFE" w:rsidP="007633AC">
      <w:pPr>
        <w:rPr>
          <w:rFonts w:ascii="Century Gothic" w:hAnsi="Century Gothic"/>
          <w:sz w:val="18"/>
          <w:szCs w:val="18"/>
          <w:lang w:val="en-AU"/>
        </w:rPr>
      </w:pPr>
      <w:bookmarkStart w:id="0" w:name="_GoBack"/>
      <w:bookmarkEnd w:id="0"/>
    </w:p>
    <w:sectPr w:rsidR="004A3DFE" w:rsidRPr="00D41C85" w:rsidSect="00921F1F">
      <w:headerReference w:type="even" r:id="rId9"/>
      <w:headerReference w:type="default" r:id="rId10"/>
      <w:footerReference w:type="default" r:id="rId11"/>
      <w:headerReference w:type="first" r:id="rId12"/>
      <w:pgSz w:w="11906" w:h="16838"/>
      <w:pgMar w:top="851" w:right="822" w:bottom="851" w:left="822" w:header="708" w:footer="2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89B" w:rsidRDefault="0033789B" w:rsidP="009E3D89">
      <w:r>
        <w:separator/>
      </w:r>
    </w:p>
  </w:endnote>
  <w:endnote w:type="continuationSeparator" w:id="0">
    <w:p w:rsidR="0033789B" w:rsidRDefault="0033789B" w:rsidP="009E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auto"/>
    <w:pitch w:val="variable"/>
    <w:sig w:usb0="E1002A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B64" w:rsidRPr="00243263" w:rsidRDefault="00211B64">
    <w:pPr>
      <w:rPr>
        <w:rFonts w:ascii="Century Gothic" w:hAnsi="Century Gothic"/>
        <w:color w:val="FFFFFF" w:themeColor="background1"/>
        <w:sz w:val="16"/>
        <w:szCs w:val="16"/>
      </w:rPr>
    </w:pPr>
    <w:r w:rsidRPr="00243263">
      <w:rPr>
        <w:rFonts w:ascii="Century Gothic" w:hAnsi="Century Gothic"/>
        <w:noProof/>
        <w:color w:val="FFFFFF" w:themeColor="background1"/>
        <w:sz w:val="16"/>
        <w:szCs w:val="16"/>
        <w:lang w:val="en-AU" w:eastAsia="en-AU"/>
      </w:rPr>
      <w:drawing>
        <wp:anchor distT="0" distB="0" distL="114300" distR="114300" simplePos="0" relativeHeight="251660288" behindDoc="1" locked="0" layoutInCell="1" allowOverlap="1" wp14:anchorId="3878CA24" wp14:editId="0CEFA9D6">
          <wp:simplePos x="0" y="0"/>
          <wp:positionH relativeFrom="column">
            <wp:posOffset>-502920</wp:posOffset>
          </wp:positionH>
          <wp:positionV relativeFrom="paragraph">
            <wp:posOffset>-187325</wp:posOffset>
          </wp:positionV>
          <wp:extent cx="7591425" cy="428625"/>
          <wp:effectExtent l="19050" t="0" r="9525" b="0"/>
          <wp:wrapNone/>
          <wp:docPr id="2" name="Picture 2" descr="garis bawah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ris bawahh.jpg"/>
                  <pic:cNvPicPr>
                    <a:picLocks noChangeAspect="1" noChangeArrowheads="1"/>
                  </pic:cNvPicPr>
                </pic:nvPicPr>
                <pic:blipFill>
                  <a:blip r:embed="rId1"/>
                  <a:srcRect/>
                  <a:stretch>
                    <a:fillRect/>
                  </a:stretch>
                </pic:blipFill>
                <pic:spPr bwMode="auto">
                  <a:xfrm>
                    <a:off x="0" y="0"/>
                    <a:ext cx="7591425" cy="428625"/>
                  </a:xfrm>
                  <a:prstGeom prst="rect">
                    <a:avLst/>
                  </a:prstGeom>
                  <a:noFill/>
                  <a:ln w="9525">
                    <a:noFill/>
                    <a:miter lim="800000"/>
                    <a:headEnd/>
                    <a:tailEnd/>
                  </a:ln>
                </pic:spPr>
              </pic:pic>
            </a:graphicData>
          </a:graphic>
        </wp:anchor>
      </w:drawing>
    </w:r>
    <w:r w:rsidR="0033789B">
      <w:rPr>
        <w:rFonts w:ascii="Century Gothic" w:hAnsi="Century Gothic"/>
        <w:noProof/>
        <w:color w:val="FFFFFF" w:themeColor="background1"/>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112164" o:spid="_x0000_s2081" type="#_x0000_t75" style="position:absolute;margin-left:345.75pt;margin-top:518.45pt;width:184.55pt;height:183.05pt;z-index:-251657216;mso-position-horizontal-relative:margin;mso-position-vertical-relative:margin" o:allowincell="f">
          <v:imagedata r:id="rId2" o:title="image001" gain="19661f" blacklevel="26214f"/>
          <w10:wrap anchorx="margin" anchory="margin"/>
        </v:shape>
      </w:pict>
    </w:r>
    <w:r w:rsidRPr="00243263">
      <w:rPr>
        <w:rFonts w:ascii="Century Gothic" w:hAnsi="Century Gothic"/>
        <w:color w:val="FFFFFF" w:themeColor="background1"/>
        <w:sz w:val="16"/>
        <w:szCs w:val="16"/>
      </w:rPr>
      <w:t>© 201</w:t>
    </w:r>
    <w:r>
      <w:rPr>
        <w:rFonts w:ascii="Century Gothic" w:hAnsi="Century Gothic"/>
        <w:color w:val="FFFFFF" w:themeColor="background1"/>
        <w:sz w:val="16"/>
        <w:szCs w:val="16"/>
      </w:rPr>
      <w:t>5</w:t>
    </w:r>
    <w:r w:rsidRPr="00243263">
      <w:rPr>
        <w:rFonts w:ascii="Century Gothic" w:hAnsi="Century Gothic"/>
        <w:color w:val="FFFFFF" w:themeColor="background1"/>
        <w:sz w:val="16"/>
        <w:szCs w:val="16"/>
      </w:rPr>
      <w:t>. Scan Capital Pty Ltd.</w:t>
    </w:r>
    <w:r w:rsidRPr="00243263">
      <w:rPr>
        <w:rFonts w:ascii="Century Gothic" w:hAnsi="Century Gothic"/>
        <w:color w:val="FFFFFF" w:themeColor="background1"/>
        <w:sz w:val="16"/>
        <w:szCs w:val="16"/>
      </w:rPr>
      <w:tab/>
    </w:r>
    <w:r>
      <w:rPr>
        <w:rFonts w:ascii="Century Gothic" w:hAnsi="Century Gothic"/>
        <w:color w:val="FFFFFF" w:themeColor="background1"/>
        <w:sz w:val="16"/>
        <w:szCs w:val="16"/>
      </w:rPr>
      <w:tab/>
    </w:r>
    <w:r w:rsidRPr="00243263">
      <w:rPr>
        <w:rFonts w:ascii="Century Gothic" w:hAnsi="Century Gothic"/>
        <w:color w:val="FFFFFF" w:themeColor="background1"/>
        <w:sz w:val="16"/>
        <w:szCs w:val="16"/>
      </w:rPr>
      <w:tab/>
      <w:t>Commercial in Confidence</w:t>
    </w:r>
    <w:r w:rsidRPr="00243263">
      <w:rPr>
        <w:rFonts w:ascii="Century Gothic" w:hAnsi="Century Gothic"/>
        <w:color w:val="FFFFFF" w:themeColor="background1"/>
        <w:sz w:val="16"/>
        <w:szCs w:val="16"/>
      </w:rPr>
      <w:tab/>
    </w:r>
    <w:r w:rsidRPr="00243263">
      <w:rPr>
        <w:rFonts w:ascii="Century Gothic" w:hAnsi="Century Gothic"/>
        <w:color w:val="FFFFFF" w:themeColor="background1"/>
        <w:sz w:val="16"/>
        <w:szCs w:val="16"/>
      </w:rPr>
      <w:tab/>
    </w:r>
    <w:r w:rsidRPr="00243263">
      <w:rPr>
        <w:rFonts w:ascii="Century Gothic" w:hAnsi="Century Gothic"/>
        <w:color w:val="FFFFFF" w:themeColor="background1"/>
        <w:sz w:val="16"/>
        <w:szCs w:val="16"/>
      </w:rPr>
      <w:tab/>
    </w:r>
    <w:r>
      <w:rPr>
        <w:rFonts w:ascii="Century Gothic" w:hAnsi="Century Gothic"/>
        <w:color w:val="FFFFFF" w:themeColor="background1"/>
        <w:sz w:val="16"/>
        <w:szCs w:val="16"/>
      </w:rPr>
      <w:tab/>
    </w:r>
    <w:r w:rsidRPr="00243263">
      <w:rPr>
        <w:rFonts w:ascii="Century Gothic" w:hAnsi="Century Gothic"/>
        <w:color w:val="FFFFFF" w:themeColor="background1"/>
        <w:sz w:val="16"/>
        <w:szCs w:val="16"/>
      </w:rPr>
      <w:tab/>
    </w:r>
    <w:sdt>
      <w:sdtPr>
        <w:rPr>
          <w:rFonts w:ascii="Century Gothic" w:hAnsi="Century Gothic"/>
          <w:color w:val="FFFFFF" w:themeColor="background1"/>
          <w:sz w:val="16"/>
          <w:szCs w:val="16"/>
        </w:rPr>
        <w:id w:val="106800735"/>
        <w:docPartObj>
          <w:docPartGallery w:val="Page Numbers (Top of Page)"/>
          <w:docPartUnique/>
        </w:docPartObj>
      </w:sdtPr>
      <w:sdtEndPr/>
      <w:sdtContent>
        <w:r w:rsidRPr="00243263">
          <w:rPr>
            <w:rFonts w:ascii="Century Gothic" w:hAnsi="Century Gothic" w:cs="Tahoma"/>
            <w:color w:val="FFFFFF" w:themeColor="background1"/>
            <w:sz w:val="16"/>
            <w:szCs w:val="16"/>
          </w:rPr>
          <w:t xml:space="preserve">Page </w:t>
        </w:r>
        <w:r w:rsidRPr="00243263">
          <w:rPr>
            <w:rFonts w:ascii="Century Gothic" w:hAnsi="Century Gothic" w:cs="Tahoma"/>
            <w:color w:val="FFFFFF" w:themeColor="background1"/>
            <w:sz w:val="16"/>
            <w:szCs w:val="16"/>
          </w:rPr>
          <w:fldChar w:fldCharType="begin"/>
        </w:r>
        <w:r w:rsidRPr="00243263">
          <w:rPr>
            <w:rFonts w:ascii="Century Gothic" w:hAnsi="Century Gothic" w:cs="Tahoma"/>
            <w:color w:val="FFFFFF" w:themeColor="background1"/>
            <w:sz w:val="16"/>
            <w:szCs w:val="16"/>
          </w:rPr>
          <w:instrText xml:space="preserve"> PAGE </w:instrText>
        </w:r>
        <w:r w:rsidRPr="00243263">
          <w:rPr>
            <w:rFonts w:ascii="Century Gothic" w:hAnsi="Century Gothic" w:cs="Tahoma"/>
            <w:color w:val="FFFFFF" w:themeColor="background1"/>
            <w:sz w:val="16"/>
            <w:szCs w:val="16"/>
          </w:rPr>
          <w:fldChar w:fldCharType="separate"/>
        </w:r>
        <w:r w:rsidR="009B1588">
          <w:rPr>
            <w:rFonts w:ascii="Century Gothic" w:hAnsi="Century Gothic" w:cs="Tahoma"/>
            <w:noProof/>
            <w:color w:val="FFFFFF" w:themeColor="background1"/>
            <w:sz w:val="16"/>
            <w:szCs w:val="16"/>
          </w:rPr>
          <w:t>4</w:t>
        </w:r>
        <w:r w:rsidRPr="00243263">
          <w:rPr>
            <w:rFonts w:ascii="Century Gothic" w:hAnsi="Century Gothic" w:cs="Tahoma"/>
            <w:color w:val="FFFFFF" w:themeColor="background1"/>
            <w:sz w:val="16"/>
            <w:szCs w:val="16"/>
          </w:rPr>
          <w:fldChar w:fldCharType="end"/>
        </w:r>
        <w:r w:rsidRPr="00243263">
          <w:rPr>
            <w:rFonts w:ascii="Century Gothic" w:hAnsi="Century Gothic" w:cs="Tahoma"/>
            <w:color w:val="FFFFFF" w:themeColor="background1"/>
            <w:sz w:val="16"/>
            <w:szCs w:val="16"/>
          </w:rPr>
          <w:t xml:space="preserve"> of </w:t>
        </w:r>
        <w:r w:rsidRPr="00243263">
          <w:rPr>
            <w:rFonts w:ascii="Century Gothic" w:hAnsi="Century Gothic" w:cs="Tahoma"/>
            <w:color w:val="FFFFFF" w:themeColor="background1"/>
            <w:sz w:val="16"/>
            <w:szCs w:val="16"/>
          </w:rPr>
          <w:fldChar w:fldCharType="begin"/>
        </w:r>
        <w:r w:rsidRPr="00243263">
          <w:rPr>
            <w:rFonts w:ascii="Century Gothic" w:hAnsi="Century Gothic" w:cs="Tahoma"/>
            <w:color w:val="FFFFFF" w:themeColor="background1"/>
            <w:sz w:val="16"/>
            <w:szCs w:val="16"/>
          </w:rPr>
          <w:instrText xml:space="preserve"> NUMPAGES  </w:instrText>
        </w:r>
        <w:r w:rsidRPr="00243263">
          <w:rPr>
            <w:rFonts w:ascii="Century Gothic" w:hAnsi="Century Gothic" w:cs="Tahoma"/>
            <w:color w:val="FFFFFF" w:themeColor="background1"/>
            <w:sz w:val="16"/>
            <w:szCs w:val="16"/>
          </w:rPr>
          <w:fldChar w:fldCharType="separate"/>
        </w:r>
        <w:r w:rsidR="009B1588">
          <w:rPr>
            <w:rFonts w:ascii="Century Gothic" w:hAnsi="Century Gothic" w:cs="Tahoma"/>
            <w:noProof/>
            <w:color w:val="FFFFFF" w:themeColor="background1"/>
            <w:sz w:val="16"/>
            <w:szCs w:val="16"/>
          </w:rPr>
          <w:t>4</w:t>
        </w:r>
        <w:r w:rsidRPr="00243263">
          <w:rPr>
            <w:rFonts w:ascii="Century Gothic" w:hAnsi="Century Gothic" w:cs="Tahoma"/>
            <w:color w:val="FFFFFF" w:themeColor="background1"/>
            <w:sz w:val="16"/>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89B" w:rsidRDefault="0033789B" w:rsidP="009E3D89">
      <w:r>
        <w:separator/>
      </w:r>
    </w:p>
  </w:footnote>
  <w:footnote w:type="continuationSeparator" w:id="0">
    <w:p w:rsidR="0033789B" w:rsidRDefault="0033789B" w:rsidP="009E3D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B64" w:rsidRDefault="0033789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112163" o:spid="_x0000_s2080" type="#_x0000_t75" style="position:absolute;margin-left:0;margin-top:0;width:184.55pt;height:183.05pt;z-index:-251658240;mso-position-horizontal:center;mso-position-horizontal-relative:margin;mso-position-vertical:center;mso-position-vertical-relative:margin" o:allowincell="f">
          <v:imagedata r:id="rId1" o:title="image001"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B64" w:rsidRPr="009E3D89" w:rsidRDefault="0033789B" w:rsidP="009E3D89">
    <w:pPr>
      <w:pStyle w:val="Header"/>
      <w:jc w:val="both"/>
    </w:pPr>
    <w:r>
      <w:rPr>
        <w:noProof/>
      </w:rPr>
      <w:pict>
        <v:shapetype id="_x0000_t202" coordsize="21600,21600" o:spt="202" path="m,l,21600r21600,l21600,xe">
          <v:stroke joinstyle="miter"/>
          <v:path gradientshapeok="t" o:connecttype="rect"/>
        </v:shapetype>
        <v:shape id="Text Box 35" o:spid="_x0000_s2083" type="#_x0000_t202" style="position:absolute;left:0;text-align:left;margin-left:353.15pt;margin-top:-12.1pt;width:166.8pt;height:72.5pt;z-index:25166131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" filled="f" stroked="f">
          <v:textbox>
            <w:txbxContent>
              <w:p w:rsidR="00211B64" w:rsidRPr="003A184D" w:rsidRDefault="00211B64" w:rsidP="00243263">
                <w:pPr>
                  <w:jc w:val="center"/>
                  <w:rPr>
                    <w:rFonts w:ascii="Century Gothic" w:hAnsi="Century Gothic" w:cs="Tahoma"/>
                    <w:b/>
                    <w:color w:val="1F497D"/>
                    <w:sz w:val="12"/>
                    <w:szCs w:val="12"/>
                    <w:lang w:val="en-AU"/>
                  </w:rPr>
                </w:pPr>
                <w:r w:rsidRPr="003A184D">
                  <w:rPr>
                    <w:rFonts w:ascii="Century Gothic" w:hAnsi="Century Gothic" w:cs="Tahoma"/>
                    <w:b/>
                    <w:color w:val="1F497D"/>
                    <w:sz w:val="12"/>
                    <w:szCs w:val="12"/>
                    <w:lang w:val="en-AU"/>
                  </w:rPr>
                  <w:t>Scancorp</w:t>
                </w:r>
              </w:p>
              <w:p w:rsidR="00211B64" w:rsidRDefault="00211B64" w:rsidP="00243263">
                <w:pPr>
                  <w:rPr>
                    <w:rFonts w:ascii="Century Gothic" w:hAnsi="Century Gothic" w:cs="Tahoma"/>
                    <w:color w:val="1F497D"/>
                    <w:sz w:val="12"/>
                    <w:szCs w:val="12"/>
                    <w:lang w:val="en-AU"/>
                  </w:rPr>
                </w:pPr>
                <w:r w:rsidRPr="003A184D">
                  <w:rPr>
                    <w:rFonts w:ascii="Century Gothic" w:hAnsi="Century Gothic" w:cs="Tahoma"/>
                    <w:b/>
                    <w:color w:val="1F497D"/>
                    <w:sz w:val="12"/>
                    <w:szCs w:val="12"/>
                    <w:lang w:val="en-AU"/>
                  </w:rPr>
                  <w:t>A:</w:t>
                </w:r>
                <w:r w:rsidRPr="003A184D">
                  <w:rPr>
                    <w:rFonts w:ascii="Century Gothic" w:hAnsi="Century Gothic" w:cs="Tahoma"/>
                    <w:color w:val="1F497D"/>
                    <w:sz w:val="12"/>
                    <w:szCs w:val="12"/>
                    <w:lang w:val="en-AU"/>
                  </w:rPr>
                  <w:tab/>
                </w:r>
                <w:r>
                  <w:rPr>
                    <w:rFonts w:ascii="Century Gothic" w:hAnsi="Century Gothic" w:cs="Tahoma"/>
                    <w:color w:val="1F497D"/>
                    <w:sz w:val="12"/>
                    <w:szCs w:val="12"/>
                    <w:lang w:val="en-AU"/>
                  </w:rPr>
                  <w:t>Suite</w:t>
                </w:r>
                <w:r w:rsidRPr="003A184D">
                  <w:rPr>
                    <w:rFonts w:ascii="Century Gothic" w:hAnsi="Century Gothic" w:cs="Tahoma"/>
                    <w:color w:val="1F497D"/>
                    <w:sz w:val="12"/>
                    <w:szCs w:val="12"/>
                    <w:lang w:val="en-AU"/>
                  </w:rPr>
                  <w:t xml:space="preserve"> 22, </w:t>
                </w:r>
                <w:r>
                  <w:rPr>
                    <w:rFonts w:ascii="Century Gothic" w:hAnsi="Century Gothic" w:cs="Tahoma"/>
                    <w:color w:val="1F497D"/>
                    <w:sz w:val="12"/>
                    <w:szCs w:val="12"/>
                    <w:lang w:val="en-AU"/>
                  </w:rPr>
                  <w:t>Newstead Commercial Village</w:t>
                </w:r>
              </w:p>
              <w:p w:rsidR="00211B64" w:rsidRPr="003A184D" w:rsidRDefault="00211B64" w:rsidP="00243263">
                <w:pPr>
                  <w:ind w:firstLine="720"/>
                  <w:rPr>
                    <w:rFonts w:ascii="Century Gothic" w:hAnsi="Century Gothic" w:cs="Tahoma"/>
                    <w:color w:val="1F497D"/>
                    <w:sz w:val="12"/>
                    <w:szCs w:val="12"/>
                    <w:lang w:val="en-AU"/>
                  </w:rPr>
                </w:pPr>
                <w:r w:rsidRPr="003A184D">
                  <w:rPr>
                    <w:rFonts w:ascii="Century Gothic" w:hAnsi="Century Gothic" w:cs="Tahoma"/>
                    <w:color w:val="1F497D"/>
                    <w:sz w:val="12"/>
                    <w:szCs w:val="12"/>
                    <w:lang w:val="en-AU"/>
                  </w:rPr>
                  <w:t>76 Doggett Street</w:t>
                </w:r>
              </w:p>
              <w:p w:rsidR="00211B64" w:rsidRPr="003A184D" w:rsidRDefault="00211B64" w:rsidP="00243263">
                <w:pPr>
                  <w:ind w:firstLine="720"/>
                  <w:rPr>
                    <w:rFonts w:ascii="Century Gothic" w:hAnsi="Century Gothic" w:cs="Tahoma"/>
                    <w:color w:val="1F497D"/>
                    <w:sz w:val="12"/>
                    <w:szCs w:val="12"/>
                  </w:rPr>
                </w:pPr>
                <w:r w:rsidRPr="003A184D">
                  <w:rPr>
                    <w:rFonts w:ascii="Century Gothic" w:hAnsi="Century Gothic" w:cs="Tahoma"/>
                    <w:color w:val="1F497D"/>
                    <w:sz w:val="12"/>
                    <w:szCs w:val="12"/>
                    <w:lang w:val="en-AU"/>
                  </w:rPr>
                  <w:t xml:space="preserve">Newstead, </w:t>
                </w:r>
                <w:r w:rsidRPr="003A184D">
                  <w:rPr>
                    <w:rFonts w:ascii="Century Gothic" w:hAnsi="Century Gothic" w:cs="Tahoma"/>
                    <w:color w:val="1F497D"/>
                    <w:sz w:val="12"/>
                    <w:szCs w:val="12"/>
                  </w:rPr>
                  <w:t>Q</w:t>
                </w:r>
                <w:r>
                  <w:rPr>
                    <w:rFonts w:ascii="Century Gothic" w:hAnsi="Century Gothic" w:cs="Tahoma"/>
                    <w:color w:val="1F497D"/>
                    <w:sz w:val="12"/>
                    <w:szCs w:val="12"/>
                  </w:rPr>
                  <w:t>LD</w:t>
                </w:r>
                <w:r w:rsidRPr="003A184D">
                  <w:rPr>
                    <w:rFonts w:ascii="Century Gothic" w:hAnsi="Century Gothic" w:cs="Tahoma"/>
                    <w:color w:val="1F497D"/>
                    <w:sz w:val="12"/>
                    <w:szCs w:val="12"/>
                  </w:rPr>
                  <w:t xml:space="preserve"> 4006</w:t>
                </w:r>
              </w:p>
              <w:p w:rsidR="00211B64" w:rsidRPr="003A184D" w:rsidRDefault="00211B64" w:rsidP="00243263">
                <w:pPr>
                  <w:rPr>
                    <w:rFonts w:ascii="Century Gothic" w:hAnsi="Century Gothic" w:cs="Tahoma"/>
                    <w:color w:val="1F497D"/>
                    <w:sz w:val="12"/>
                    <w:szCs w:val="12"/>
                  </w:rPr>
                </w:pPr>
                <w:r w:rsidRPr="003A184D">
                  <w:rPr>
                    <w:rFonts w:ascii="Century Gothic" w:hAnsi="Century Gothic" w:cs="Tahoma"/>
                    <w:b/>
                    <w:color w:val="1F497D"/>
                    <w:sz w:val="12"/>
                    <w:szCs w:val="12"/>
                  </w:rPr>
                  <w:t>P:</w:t>
                </w:r>
                <w:r w:rsidRPr="003A184D">
                  <w:rPr>
                    <w:rFonts w:ascii="Century Gothic" w:hAnsi="Century Gothic" w:cs="Tahoma"/>
                    <w:color w:val="1F497D"/>
                    <w:sz w:val="12"/>
                    <w:szCs w:val="12"/>
                  </w:rPr>
                  <w:tab/>
                  <w:t>07 3902 2400</w:t>
                </w:r>
              </w:p>
              <w:p w:rsidR="00211B64" w:rsidRPr="003A184D" w:rsidRDefault="00211B64" w:rsidP="00243263">
                <w:pPr>
                  <w:rPr>
                    <w:rFonts w:ascii="Century Gothic" w:hAnsi="Century Gothic" w:cs="Tahoma"/>
                    <w:color w:val="1F497D"/>
                    <w:sz w:val="12"/>
                    <w:szCs w:val="12"/>
                  </w:rPr>
                </w:pPr>
                <w:r w:rsidRPr="003A184D">
                  <w:rPr>
                    <w:rFonts w:ascii="Century Gothic" w:hAnsi="Century Gothic" w:cs="Tahoma"/>
                    <w:b/>
                    <w:color w:val="1F497D"/>
                    <w:sz w:val="12"/>
                    <w:szCs w:val="12"/>
                  </w:rPr>
                  <w:t>F:</w:t>
                </w:r>
                <w:r w:rsidRPr="003A184D">
                  <w:rPr>
                    <w:rFonts w:ascii="Century Gothic" w:hAnsi="Century Gothic" w:cs="Tahoma"/>
                    <w:color w:val="1F497D"/>
                    <w:sz w:val="12"/>
                    <w:szCs w:val="12"/>
                  </w:rPr>
                  <w:tab/>
                  <w:t>07 3399 4288</w:t>
                </w:r>
              </w:p>
              <w:p w:rsidR="00211B64" w:rsidRPr="003A184D" w:rsidRDefault="00211B64" w:rsidP="00243263">
                <w:pPr>
                  <w:jc w:val="center"/>
                  <w:rPr>
                    <w:rFonts w:ascii="Century Gothic" w:hAnsi="Century Gothic" w:cs="Tahoma"/>
                    <w:b/>
                    <w:sz w:val="12"/>
                    <w:szCs w:val="12"/>
                  </w:rPr>
                </w:pPr>
                <w:r w:rsidRPr="003A184D">
                  <w:rPr>
                    <w:rFonts w:ascii="Century Gothic" w:hAnsi="Century Gothic" w:cs="Tahoma"/>
                    <w:b/>
                    <w:i/>
                    <w:color w:val="1F497D"/>
                    <w:sz w:val="12"/>
                    <w:szCs w:val="12"/>
                    <w:u w:val="single"/>
                  </w:rPr>
                  <w:t>www.scancorp.com.au</w:t>
                </w:r>
              </w:p>
            </w:txbxContent>
          </v:textbox>
        </v:shape>
      </w:pict>
    </w:r>
    <w:r w:rsidR="00211B64">
      <w:rPr>
        <w:noProof/>
        <w:lang w:val="en-AU" w:eastAsia="en-AU"/>
      </w:rPr>
      <w:drawing>
        <wp:inline distT="0" distB="0" distL="0" distR="0" wp14:anchorId="33D5364F" wp14:editId="15913477">
          <wp:extent cx="2381250" cy="571500"/>
          <wp:effectExtent l="19050" t="0" r="0" b="0"/>
          <wp:docPr id="1" name="Picture 0" descr="letterhead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etterheadd.jpg"/>
                  <pic:cNvPicPr>
                    <a:picLocks noChangeAspect="1" noChangeArrowheads="1"/>
                  </pic:cNvPicPr>
                </pic:nvPicPr>
                <pic:blipFill>
                  <a:blip r:embed="rId1"/>
                  <a:srcRect/>
                  <a:stretch>
                    <a:fillRect/>
                  </a:stretch>
                </pic:blipFill>
                <pic:spPr bwMode="auto">
                  <a:xfrm>
                    <a:off x="0" y="0"/>
                    <a:ext cx="2381250" cy="571500"/>
                  </a:xfrm>
                  <a:prstGeom prst="rect">
                    <a:avLst/>
                  </a:prstGeom>
                  <a:noFill/>
                  <a:ln w="9525">
                    <a:noFill/>
                    <a:miter lim="800000"/>
                    <a:headEnd/>
                    <a:tailEnd/>
                  </a:ln>
                </pic:spPr>
              </pic:pic>
            </a:graphicData>
          </a:graphic>
        </wp:inline>
      </w:drawing>
    </w:r>
  </w:p>
  <w:p w:rsidR="00211B64" w:rsidRDefault="0033789B">
    <w:pPr>
      <w:pStyle w:val="Header"/>
    </w:pPr>
    <w:r>
      <w:rPr>
        <w:color w:val="244061" w:themeColor="accent1" w:themeShade="80"/>
      </w:rPr>
      <w:pict>
        <v:rect id="_x0000_i1025" style="width:513.1pt;height:2pt;mso-position-horizontal:absolute;mso-position-vertical:absolute" o:hralign="center" o:hrstd="t" o:hrnoshade="t" o:hr="t" fillcolor="#243f60 [1604]" stroked="f"/>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B64" w:rsidRDefault="0033789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112162" o:spid="_x0000_s2079" type="#_x0000_t75" style="position:absolute;margin-left:0;margin-top:0;width:184.55pt;height:183.05pt;z-index:-251659264;mso-position-horizontal:center;mso-position-horizontal-relative:margin;mso-position-vertical:center;mso-position-vertical-relative:margin" o:allowincell="f">
          <v:imagedata r:id="rId1" o:title="image001"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404CA"/>
    <w:multiLevelType w:val="multilevel"/>
    <w:tmpl w:val="E6AAB4DA"/>
    <w:lvl w:ilvl="0">
      <w:start w:val="1"/>
      <w:numFmt w:val="bullet"/>
      <w:lvlText w:val=""/>
      <w:lvlJc w:val="left"/>
      <w:pPr>
        <w:tabs>
          <w:tab w:val="num" w:pos="720"/>
        </w:tabs>
        <w:ind w:left="720" w:hanging="360"/>
      </w:pPr>
      <w:rPr>
        <w:rFonts w:ascii="Symbol" w:hAnsi="Symbol" w:hint="default"/>
        <w:sz w:val="20"/>
      </w:rPr>
    </w:lvl>
    <w:lvl w:ilvl="1">
      <w:start w:val="6"/>
      <w:numFmt w:val="bullet"/>
      <w:lvlText w:val="-"/>
      <w:lvlJc w:val="left"/>
      <w:pPr>
        <w:ind w:left="1440" w:hanging="360"/>
      </w:pPr>
      <w:rPr>
        <w:rFonts w:ascii="Arial" w:eastAsia="Cambria" w:hAnsi="Arial" w:cs="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B16152"/>
    <w:multiLevelType w:val="hybridMultilevel"/>
    <w:tmpl w:val="8FA66FAA"/>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03C831F9"/>
    <w:multiLevelType w:val="hybridMultilevel"/>
    <w:tmpl w:val="BE30EC26"/>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32C3143"/>
    <w:multiLevelType w:val="hybridMultilevel"/>
    <w:tmpl w:val="2B2227E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23871D6B"/>
    <w:multiLevelType w:val="multilevel"/>
    <w:tmpl w:val="DD20BA4E"/>
    <w:lvl w:ilvl="0">
      <w:start w:val="1"/>
      <w:numFmt w:val="decimal"/>
      <w:lvlText w:val="%1.0"/>
      <w:lvlJc w:val="left"/>
      <w:pPr>
        <w:ind w:left="780" w:hanging="780"/>
      </w:pPr>
      <w:rPr>
        <w:rFonts w:hint="default"/>
      </w:rPr>
    </w:lvl>
    <w:lvl w:ilvl="1">
      <w:start w:val="1"/>
      <w:numFmt w:val="decimal"/>
      <w:lvlText w:val="%1.%2"/>
      <w:lvlJc w:val="left"/>
      <w:pPr>
        <w:ind w:left="1500" w:hanging="78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960" w:hanging="1800"/>
      </w:pPr>
      <w:rPr>
        <w:rFonts w:hint="default"/>
      </w:rPr>
    </w:lvl>
    <w:lvl w:ilvl="4">
      <w:start w:val="1"/>
      <w:numFmt w:val="decimal"/>
      <w:lvlText w:val="%1.%2.%3.%4.%5"/>
      <w:lvlJc w:val="left"/>
      <w:pPr>
        <w:ind w:left="5040" w:hanging="2160"/>
      </w:pPr>
      <w:rPr>
        <w:rFonts w:hint="default"/>
      </w:rPr>
    </w:lvl>
    <w:lvl w:ilvl="5">
      <w:start w:val="1"/>
      <w:numFmt w:val="decimal"/>
      <w:lvlText w:val="%1.%2.%3.%4.%5.%6"/>
      <w:lvlJc w:val="left"/>
      <w:pPr>
        <w:ind w:left="6120" w:hanging="2520"/>
      </w:pPr>
      <w:rPr>
        <w:rFonts w:hint="default"/>
      </w:rPr>
    </w:lvl>
    <w:lvl w:ilvl="6">
      <w:start w:val="1"/>
      <w:numFmt w:val="decimal"/>
      <w:lvlText w:val="%1.%2.%3.%4.%5.%6.%7"/>
      <w:lvlJc w:val="left"/>
      <w:pPr>
        <w:ind w:left="7200" w:hanging="2880"/>
      </w:pPr>
      <w:rPr>
        <w:rFonts w:hint="default"/>
      </w:rPr>
    </w:lvl>
    <w:lvl w:ilvl="7">
      <w:start w:val="1"/>
      <w:numFmt w:val="decimal"/>
      <w:lvlText w:val="%1.%2.%3.%4.%5.%6.%7.%8"/>
      <w:lvlJc w:val="left"/>
      <w:pPr>
        <w:ind w:left="8280" w:hanging="3240"/>
      </w:pPr>
      <w:rPr>
        <w:rFonts w:hint="default"/>
      </w:rPr>
    </w:lvl>
    <w:lvl w:ilvl="8">
      <w:start w:val="1"/>
      <w:numFmt w:val="decimal"/>
      <w:lvlText w:val="%1.%2.%3.%4.%5.%6.%7.%8.%9"/>
      <w:lvlJc w:val="left"/>
      <w:pPr>
        <w:ind w:left="9360" w:hanging="3600"/>
      </w:pPr>
      <w:rPr>
        <w:rFonts w:hint="default"/>
      </w:rPr>
    </w:lvl>
  </w:abstractNum>
  <w:abstractNum w:abstractNumId="5">
    <w:nsid w:val="2BB46078"/>
    <w:multiLevelType w:val="hybridMultilevel"/>
    <w:tmpl w:val="69FAF908"/>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2C6141A5"/>
    <w:multiLevelType w:val="hybridMultilevel"/>
    <w:tmpl w:val="417A3718"/>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301559DC"/>
    <w:multiLevelType w:val="hybridMultilevel"/>
    <w:tmpl w:val="26AAB50C"/>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355248C6"/>
    <w:multiLevelType w:val="hybridMultilevel"/>
    <w:tmpl w:val="268897B0"/>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38DA43ED"/>
    <w:multiLevelType w:val="hybridMultilevel"/>
    <w:tmpl w:val="4FA85E7A"/>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399A1B73"/>
    <w:multiLevelType w:val="hybridMultilevel"/>
    <w:tmpl w:val="774E8CF2"/>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3C9B3C21"/>
    <w:multiLevelType w:val="hybridMultilevel"/>
    <w:tmpl w:val="16AC0C28"/>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3E411356"/>
    <w:multiLevelType w:val="hybridMultilevel"/>
    <w:tmpl w:val="11229E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47399A"/>
    <w:multiLevelType w:val="hybridMultilevel"/>
    <w:tmpl w:val="33465CB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3FE900B6"/>
    <w:multiLevelType w:val="singleLevel"/>
    <w:tmpl w:val="6D76E146"/>
    <w:lvl w:ilvl="0">
      <w:start w:val="1"/>
      <w:numFmt w:val="lowerLetter"/>
      <w:lvlText w:val="(%1)"/>
      <w:legacy w:legacy="1" w:legacySpace="0" w:legacyIndent="720"/>
      <w:lvlJc w:val="left"/>
      <w:pPr>
        <w:ind w:left="1440" w:hanging="720"/>
      </w:pPr>
    </w:lvl>
  </w:abstractNum>
  <w:abstractNum w:abstractNumId="15">
    <w:nsid w:val="41220243"/>
    <w:multiLevelType w:val="hybridMultilevel"/>
    <w:tmpl w:val="F30CAFB4"/>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5A7F1499"/>
    <w:multiLevelType w:val="hybridMultilevel"/>
    <w:tmpl w:val="BF1AD90A"/>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5C9A5004"/>
    <w:multiLevelType w:val="hybridMultilevel"/>
    <w:tmpl w:val="FC3406B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5E1932E1"/>
    <w:multiLevelType w:val="hybridMultilevel"/>
    <w:tmpl w:val="BF06FD64"/>
    <w:lvl w:ilvl="0" w:tplc="B32065C6">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5F114C26"/>
    <w:multiLevelType w:val="hybridMultilevel"/>
    <w:tmpl w:val="2AEE7412"/>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602F3AB4"/>
    <w:multiLevelType w:val="hybridMultilevel"/>
    <w:tmpl w:val="A78E82EA"/>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3D24833"/>
    <w:multiLevelType w:val="hybridMultilevel"/>
    <w:tmpl w:val="97D6894A"/>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63FF71E8"/>
    <w:multiLevelType w:val="hybridMultilevel"/>
    <w:tmpl w:val="A1DAB5B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nsid w:val="69D3204F"/>
    <w:multiLevelType w:val="hybridMultilevel"/>
    <w:tmpl w:val="7FA2CBF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6F0E303A"/>
    <w:multiLevelType w:val="hybridMultilevel"/>
    <w:tmpl w:val="C4C8B11A"/>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756B540C"/>
    <w:multiLevelType w:val="hybridMultilevel"/>
    <w:tmpl w:val="55CA8A76"/>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7D160D06"/>
    <w:multiLevelType w:val="hybridMultilevel"/>
    <w:tmpl w:val="9FB8E268"/>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
  </w:num>
  <w:num w:numId="2">
    <w:abstractNumId w:val="0"/>
  </w:num>
  <w:num w:numId="3">
    <w:abstractNumId w:val="3"/>
  </w:num>
  <w:num w:numId="4">
    <w:abstractNumId w:val="13"/>
  </w:num>
  <w:num w:numId="5">
    <w:abstractNumId w:val="12"/>
  </w:num>
  <w:num w:numId="6">
    <w:abstractNumId w:val="1"/>
  </w:num>
  <w:num w:numId="7">
    <w:abstractNumId w:val="14"/>
  </w:num>
  <w:num w:numId="8">
    <w:abstractNumId w:val="25"/>
  </w:num>
  <w:num w:numId="9">
    <w:abstractNumId w:val="26"/>
  </w:num>
  <w:num w:numId="10">
    <w:abstractNumId w:val="18"/>
  </w:num>
  <w:num w:numId="11">
    <w:abstractNumId w:val="22"/>
  </w:num>
  <w:num w:numId="12">
    <w:abstractNumId w:val="2"/>
  </w:num>
  <w:num w:numId="13">
    <w:abstractNumId w:val="21"/>
  </w:num>
  <w:num w:numId="14">
    <w:abstractNumId w:val="23"/>
  </w:num>
  <w:num w:numId="15">
    <w:abstractNumId w:val="10"/>
  </w:num>
  <w:num w:numId="16">
    <w:abstractNumId w:val="9"/>
  </w:num>
  <w:num w:numId="17">
    <w:abstractNumId w:val="15"/>
  </w:num>
  <w:num w:numId="18">
    <w:abstractNumId w:val="5"/>
  </w:num>
  <w:num w:numId="19">
    <w:abstractNumId w:val="16"/>
  </w:num>
  <w:num w:numId="20">
    <w:abstractNumId w:val="20"/>
  </w:num>
  <w:num w:numId="21">
    <w:abstractNumId w:val="17"/>
  </w:num>
  <w:num w:numId="22">
    <w:abstractNumId w:val="6"/>
  </w:num>
  <w:num w:numId="23">
    <w:abstractNumId w:val="8"/>
  </w:num>
  <w:num w:numId="24">
    <w:abstractNumId w:val="7"/>
  </w:num>
  <w:num w:numId="25">
    <w:abstractNumId w:val="19"/>
  </w:num>
  <w:num w:numId="26">
    <w:abstractNumId w:val="11"/>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8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D123E"/>
    <w:rsid w:val="000122F0"/>
    <w:rsid w:val="00032EBF"/>
    <w:rsid w:val="000408AA"/>
    <w:rsid w:val="000439FD"/>
    <w:rsid w:val="000440D7"/>
    <w:rsid w:val="00060B29"/>
    <w:rsid w:val="00062E97"/>
    <w:rsid w:val="00067D1C"/>
    <w:rsid w:val="00085D0F"/>
    <w:rsid w:val="000954D5"/>
    <w:rsid w:val="000A740B"/>
    <w:rsid w:val="000B332A"/>
    <w:rsid w:val="000B4D3A"/>
    <w:rsid w:val="000C310D"/>
    <w:rsid w:val="000D7DC5"/>
    <w:rsid w:val="001063CA"/>
    <w:rsid w:val="00107AEC"/>
    <w:rsid w:val="00112E10"/>
    <w:rsid w:val="0012726D"/>
    <w:rsid w:val="00137BA9"/>
    <w:rsid w:val="00143161"/>
    <w:rsid w:val="00153350"/>
    <w:rsid w:val="00162CE6"/>
    <w:rsid w:val="00174041"/>
    <w:rsid w:val="00193FFE"/>
    <w:rsid w:val="001C38B7"/>
    <w:rsid w:val="001D123E"/>
    <w:rsid w:val="001E2555"/>
    <w:rsid w:val="001F1513"/>
    <w:rsid w:val="001F25DA"/>
    <w:rsid w:val="001F5F5A"/>
    <w:rsid w:val="00211B64"/>
    <w:rsid w:val="002171AE"/>
    <w:rsid w:val="00220420"/>
    <w:rsid w:val="00227278"/>
    <w:rsid w:val="00243263"/>
    <w:rsid w:val="00246187"/>
    <w:rsid w:val="00251A3E"/>
    <w:rsid w:val="002549AD"/>
    <w:rsid w:val="00277581"/>
    <w:rsid w:val="00282AF9"/>
    <w:rsid w:val="00284624"/>
    <w:rsid w:val="002918F9"/>
    <w:rsid w:val="002A2FA2"/>
    <w:rsid w:val="002D50C9"/>
    <w:rsid w:val="002D789D"/>
    <w:rsid w:val="002F07A5"/>
    <w:rsid w:val="002F0C70"/>
    <w:rsid w:val="002F4FAB"/>
    <w:rsid w:val="00305A48"/>
    <w:rsid w:val="003065FD"/>
    <w:rsid w:val="0032102B"/>
    <w:rsid w:val="003252FC"/>
    <w:rsid w:val="0033789B"/>
    <w:rsid w:val="003623E4"/>
    <w:rsid w:val="003649E7"/>
    <w:rsid w:val="00367D41"/>
    <w:rsid w:val="00373614"/>
    <w:rsid w:val="00373AD6"/>
    <w:rsid w:val="003804DB"/>
    <w:rsid w:val="003C127E"/>
    <w:rsid w:val="003C2378"/>
    <w:rsid w:val="003C3DDE"/>
    <w:rsid w:val="003D19FC"/>
    <w:rsid w:val="003E344B"/>
    <w:rsid w:val="003F0B87"/>
    <w:rsid w:val="0040156F"/>
    <w:rsid w:val="004067AF"/>
    <w:rsid w:val="004136E8"/>
    <w:rsid w:val="00423939"/>
    <w:rsid w:val="004268C1"/>
    <w:rsid w:val="00427CA4"/>
    <w:rsid w:val="004311BB"/>
    <w:rsid w:val="00431690"/>
    <w:rsid w:val="00433727"/>
    <w:rsid w:val="004365FE"/>
    <w:rsid w:val="00470C67"/>
    <w:rsid w:val="0047533F"/>
    <w:rsid w:val="00493F63"/>
    <w:rsid w:val="00494650"/>
    <w:rsid w:val="004A1807"/>
    <w:rsid w:val="004A3AB1"/>
    <w:rsid w:val="004A3DFE"/>
    <w:rsid w:val="004B2098"/>
    <w:rsid w:val="004B7CC5"/>
    <w:rsid w:val="004C0345"/>
    <w:rsid w:val="004C1EA1"/>
    <w:rsid w:val="004C264D"/>
    <w:rsid w:val="004D7CE7"/>
    <w:rsid w:val="004E7BC1"/>
    <w:rsid w:val="004F0A8E"/>
    <w:rsid w:val="004F17DB"/>
    <w:rsid w:val="004F4664"/>
    <w:rsid w:val="0051032F"/>
    <w:rsid w:val="0051151A"/>
    <w:rsid w:val="005144D7"/>
    <w:rsid w:val="005229D4"/>
    <w:rsid w:val="00535E34"/>
    <w:rsid w:val="00545966"/>
    <w:rsid w:val="00552972"/>
    <w:rsid w:val="00557DEE"/>
    <w:rsid w:val="00561298"/>
    <w:rsid w:val="0056503A"/>
    <w:rsid w:val="00567663"/>
    <w:rsid w:val="00576BBE"/>
    <w:rsid w:val="00580EDA"/>
    <w:rsid w:val="00586BDE"/>
    <w:rsid w:val="005906D6"/>
    <w:rsid w:val="005A47E6"/>
    <w:rsid w:val="005B51ED"/>
    <w:rsid w:val="005C5B68"/>
    <w:rsid w:val="005D39DC"/>
    <w:rsid w:val="005E060E"/>
    <w:rsid w:val="005E1925"/>
    <w:rsid w:val="005F4CAF"/>
    <w:rsid w:val="006161BC"/>
    <w:rsid w:val="00620332"/>
    <w:rsid w:val="00623F9F"/>
    <w:rsid w:val="0062442E"/>
    <w:rsid w:val="00625257"/>
    <w:rsid w:val="0063305C"/>
    <w:rsid w:val="0063446C"/>
    <w:rsid w:val="00643102"/>
    <w:rsid w:val="00651210"/>
    <w:rsid w:val="00652BAC"/>
    <w:rsid w:val="00652E44"/>
    <w:rsid w:val="00657DE2"/>
    <w:rsid w:val="00676241"/>
    <w:rsid w:val="006830AB"/>
    <w:rsid w:val="00687228"/>
    <w:rsid w:val="006922E8"/>
    <w:rsid w:val="006A5194"/>
    <w:rsid w:val="006A5DC5"/>
    <w:rsid w:val="006B3F3A"/>
    <w:rsid w:val="006C03C5"/>
    <w:rsid w:val="006E242C"/>
    <w:rsid w:val="006E2604"/>
    <w:rsid w:val="006E5A29"/>
    <w:rsid w:val="00707DD0"/>
    <w:rsid w:val="007172DD"/>
    <w:rsid w:val="00732281"/>
    <w:rsid w:val="00760C0F"/>
    <w:rsid w:val="007633AC"/>
    <w:rsid w:val="00766322"/>
    <w:rsid w:val="007668E0"/>
    <w:rsid w:val="00770084"/>
    <w:rsid w:val="00781E3E"/>
    <w:rsid w:val="00786F02"/>
    <w:rsid w:val="00790A65"/>
    <w:rsid w:val="0079113A"/>
    <w:rsid w:val="007B49F4"/>
    <w:rsid w:val="007C3231"/>
    <w:rsid w:val="007D30D2"/>
    <w:rsid w:val="007F5144"/>
    <w:rsid w:val="0080527D"/>
    <w:rsid w:val="00807002"/>
    <w:rsid w:val="00822E70"/>
    <w:rsid w:val="00825704"/>
    <w:rsid w:val="0083556B"/>
    <w:rsid w:val="00855D9E"/>
    <w:rsid w:val="00873FBA"/>
    <w:rsid w:val="00874313"/>
    <w:rsid w:val="008A3930"/>
    <w:rsid w:val="008A4CA6"/>
    <w:rsid w:val="008D0713"/>
    <w:rsid w:val="008D35FF"/>
    <w:rsid w:val="008E48BA"/>
    <w:rsid w:val="009131D0"/>
    <w:rsid w:val="00920A53"/>
    <w:rsid w:val="00921309"/>
    <w:rsid w:val="00921F1F"/>
    <w:rsid w:val="00937768"/>
    <w:rsid w:val="0094289B"/>
    <w:rsid w:val="00946D3D"/>
    <w:rsid w:val="00947C67"/>
    <w:rsid w:val="009540D4"/>
    <w:rsid w:val="00962AAB"/>
    <w:rsid w:val="0096587C"/>
    <w:rsid w:val="00966645"/>
    <w:rsid w:val="0097005C"/>
    <w:rsid w:val="00982FC3"/>
    <w:rsid w:val="00984F95"/>
    <w:rsid w:val="009872B7"/>
    <w:rsid w:val="00992FF3"/>
    <w:rsid w:val="00994CCE"/>
    <w:rsid w:val="009A034E"/>
    <w:rsid w:val="009B1588"/>
    <w:rsid w:val="009D2033"/>
    <w:rsid w:val="009D3671"/>
    <w:rsid w:val="009E1097"/>
    <w:rsid w:val="009E1DB1"/>
    <w:rsid w:val="009E362F"/>
    <w:rsid w:val="009E36C5"/>
    <w:rsid w:val="009E3D89"/>
    <w:rsid w:val="00A03245"/>
    <w:rsid w:val="00A127BA"/>
    <w:rsid w:val="00A16E31"/>
    <w:rsid w:val="00A30BEA"/>
    <w:rsid w:val="00A3241A"/>
    <w:rsid w:val="00A336BA"/>
    <w:rsid w:val="00A401F1"/>
    <w:rsid w:val="00A462CE"/>
    <w:rsid w:val="00A6162F"/>
    <w:rsid w:val="00A9506D"/>
    <w:rsid w:val="00AA2594"/>
    <w:rsid w:val="00AA580B"/>
    <w:rsid w:val="00AB35DF"/>
    <w:rsid w:val="00AD75E4"/>
    <w:rsid w:val="00B1414C"/>
    <w:rsid w:val="00B21016"/>
    <w:rsid w:val="00B218F9"/>
    <w:rsid w:val="00B273F7"/>
    <w:rsid w:val="00B31760"/>
    <w:rsid w:val="00B45262"/>
    <w:rsid w:val="00B52AEC"/>
    <w:rsid w:val="00B639A6"/>
    <w:rsid w:val="00B648C6"/>
    <w:rsid w:val="00B74E31"/>
    <w:rsid w:val="00B829A8"/>
    <w:rsid w:val="00B8791A"/>
    <w:rsid w:val="00B96202"/>
    <w:rsid w:val="00BA2E1C"/>
    <w:rsid w:val="00BB0599"/>
    <w:rsid w:val="00BB7A9E"/>
    <w:rsid w:val="00BE2653"/>
    <w:rsid w:val="00BE74FB"/>
    <w:rsid w:val="00BF6261"/>
    <w:rsid w:val="00C06B79"/>
    <w:rsid w:val="00C46148"/>
    <w:rsid w:val="00C55691"/>
    <w:rsid w:val="00C80725"/>
    <w:rsid w:val="00CA042A"/>
    <w:rsid w:val="00CB44B0"/>
    <w:rsid w:val="00CC3372"/>
    <w:rsid w:val="00D23378"/>
    <w:rsid w:val="00D41A35"/>
    <w:rsid w:val="00D41C85"/>
    <w:rsid w:val="00D43460"/>
    <w:rsid w:val="00D44CFB"/>
    <w:rsid w:val="00D52A8A"/>
    <w:rsid w:val="00D53E23"/>
    <w:rsid w:val="00D6713C"/>
    <w:rsid w:val="00D91F42"/>
    <w:rsid w:val="00DD5F48"/>
    <w:rsid w:val="00DE3B61"/>
    <w:rsid w:val="00E12987"/>
    <w:rsid w:val="00E15694"/>
    <w:rsid w:val="00E223D7"/>
    <w:rsid w:val="00E40913"/>
    <w:rsid w:val="00E42B30"/>
    <w:rsid w:val="00E51198"/>
    <w:rsid w:val="00E646FF"/>
    <w:rsid w:val="00E6705B"/>
    <w:rsid w:val="00E76156"/>
    <w:rsid w:val="00E76D92"/>
    <w:rsid w:val="00E81DCF"/>
    <w:rsid w:val="00E92CE6"/>
    <w:rsid w:val="00EC276E"/>
    <w:rsid w:val="00EC6832"/>
    <w:rsid w:val="00ED3B57"/>
    <w:rsid w:val="00ED4966"/>
    <w:rsid w:val="00ED5A7D"/>
    <w:rsid w:val="00EF0458"/>
    <w:rsid w:val="00EF17FE"/>
    <w:rsid w:val="00F15445"/>
    <w:rsid w:val="00F321D5"/>
    <w:rsid w:val="00F456D3"/>
    <w:rsid w:val="00F46794"/>
    <w:rsid w:val="00F47D42"/>
    <w:rsid w:val="00F62948"/>
    <w:rsid w:val="00F65297"/>
    <w:rsid w:val="00FA1C5D"/>
    <w:rsid w:val="00FA2BBE"/>
    <w:rsid w:val="00FB6558"/>
    <w:rsid w:val="00FE792F"/>
    <w:rsid w:val="00FF72F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84"/>
    <o:shapelayout v:ext="edit">
      <o:idmap v:ext="edit" data="1"/>
    </o:shapelayout>
  </w:shapeDefaults>
  <w:decimalSymbol w:val="."/>
  <w:listSeparator w:val=","/>
  <w15:docId w15:val="{46031F7A-F17D-4C7B-93A4-A9CCCEFBD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E34"/>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3D89"/>
    <w:pPr>
      <w:tabs>
        <w:tab w:val="center" w:pos="4513"/>
        <w:tab w:val="right" w:pos="9026"/>
      </w:tabs>
    </w:pPr>
  </w:style>
  <w:style w:type="character" w:customStyle="1" w:styleId="HeaderChar">
    <w:name w:val="Header Char"/>
    <w:basedOn w:val="DefaultParagraphFont"/>
    <w:link w:val="Header"/>
    <w:uiPriority w:val="99"/>
    <w:rsid w:val="009E3D89"/>
  </w:style>
  <w:style w:type="paragraph" w:styleId="Footer">
    <w:name w:val="footer"/>
    <w:basedOn w:val="Normal"/>
    <w:link w:val="FooterChar"/>
    <w:uiPriority w:val="99"/>
    <w:unhideWhenUsed/>
    <w:rsid w:val="009E3D89"/>
    <w:pPr>
      <w:tabs>
        <w:tab w:val="center" w:pos="4513"/>
        <w:tab w:val="right" w:pos="9026"/>
      </w:tabs>
    </w:pPr>
  </w:style>
  <w:style w:type="character" w:customStyle="1" w:styleId="FooterChar">
    <w:name w:val="Footer Char"/>
    <w:basedOn w:val="DefaultParagraphFont"/>
    <w:link w:val="Footer"/>
    <w:uiPriority w:val="99"/>
    <w:rsid w:val="009E3D89"/>
  </w:style>
  <w:style w:type="paragraph" w:styleId="BalloonText">
    <w:name w:val="Balloon Text"/>
    <w:basedOn w:val="Normal"/>
    <w:link w:val="BalloonTextChar"/>
    <w:uiPriority w:val="99"/>
    <w:semiHidden/>
    <w:unhideWhenUsed/>
    <w:rsid w:val="009E3D89"/>
    <w:rPr>
      <w:rFonts w:ascii="Tahoma" w:hAnsi="Tahoma" w:cs="Tahoma"/>
      <w:sz w:val="16"/>
      <w:szCs w:val="16"/>
    </w:rPr>
  </w:style>
  <w:style w:type="character" w:customStyle="1" w:styleId="BalloonTextChar">
    <w:name w:val="Balloon Text Char"/>
    <w:basedOn w:val="DefaultParagraphFont"/>
    <w:link w:val="BalloonText"/>
    <w:uiPriority w:val="99"/>
    <w:semiHidden/>
    <w:rsid w:val="009E3D89"/>
    <w:rPr>
      <w:rFonts w:ascii="Tahoma" w:hAnsi="Tahoma" w:cs="Tahoma"/>
      <w:sz w:val="16"/>
      <w:szCs w:val="16"/>
    </w:rPr>
  </w:style>
  <w:style w:type="paragraph" w:styleId="ListParagraph">
    <w:name w:val="List Paragraph"/>
    <w:basedOn w:val="Normal"/>
    <w:uiPriority w:val="34"/>
    <w:qFormat/>
    <w:rsid w:val="00921F1F"/>
    <w:pPr>
      <w:ind w:left="720"/>
      <w:contextualSpacing/>
    </w:pPr>
    <w:rPr>
      <w:rFonts w:asciiTheme="minorHAnsi" w:eastAsiaTheme="minorHAnsi" w:hAnsiTheme="minorHAnsi" w:cstheme="minorBidi"/>
      <w:lang w:val="en-AU"/>
    </w:rPr>
  </w:style>
  <w:style w:type="table" w:styleId="TableGrid">
    <w:name w:val="Table Grid"/>
    <w:basedOn w:val="TableNormal"/>
    <w:uiPriority w:val="59"/>
    <w:rsid w:val="00251A3E"/>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A3DFE"/>
    <w:rPr>
      <w:color w:val="0000FF" w:themeColor="hyperlink"/>
      <w:u w:val="single"/>
    </w:rPr>
  </w:style>
  <w:style w:type="table" w:customStyle="1" w:styleId="PlainTable11">
    <w:name w:val="Plain Table 11"/>
    <w:basedOn w:val="TableNormal"/>
    <w:uiPriority w:val="41"/>
    <w:rsid w:val="00F6529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152636">
      <w:bodyDiv w:val="1"/>
      <w:marLeft w:val="0"/>
      <w:marRight w:val="0"/>
      <w:marTop w:val="0"/>
      <w:marBottom w:val="0"/>
      <w:divBdr>
        <w:top w:val="none" w:sz="0" w:space="0" w:color="auto"/>
        <w:left w:val="none" w:sz="0" w:space="0" w:color="auto"/>
        <w:bottom w:val="none" w:sz="0" w:space="0" w:color="auto"/>
        <w:right w:val="none" w:sz="0" w:space="0" w:color="auto"/>
      </w:divBdr>
      <w:divsChild>
        <w:div w:id="744494015">
          <w:marLeft w:val="0"/>
          <w:marRight w:val="0"/>
          <w:marTop w:val="0"/>
          <w:marBottom w:val="0"/>
          <w:divBdr>
            <w:top w:val="none" w:sz="0" w:space="0" w:color="auto"/>
            <w:left w:val="none" w:sz="0" w:space="0" w:color="auto"/>
            <w:bottom w:val="none" w:sz="0" w:space="0" w:color="auto"/>
            <w:right w:val="none" w:sz="0" w:space="0" w:color="auto"/>
          </w:divBdr>
          <w:divsChild>
            <w:div w:id="559054251">
              <w:marLeft w:val="0"/>
              <w:marRight w:val="0"/>
              <w:marTop w:val="0"/>
              <w:marBottom w:val="0"/>
              <w:divBdr>
                <w:top w:val="none" w:sz="0" w:space="0" w:color="auto"/>
                <w:left w:val="none" w:sz="0" w:space="0" w:color="auto"/>
                <w:bottom w:val="none" w:sz="0" w:space="0" w:color="auto"/>
                <w:right w:val="none" w:sz="0" w:space="0" w:color="auto"/>
              </w:divBdr>
              <w:divsChild>
                <w:div w:id="1195507960">
                  <w:marLeft w:val="0"/>
                  <w:marRight w:val="0"/>
                  <w:marTop w:val="0"/>
                  <w:marBottom w:val="0"/>
                  <w:divBdr>
                    <w:top w:val="none" w:sz="0" w:space="0" w:color="auto"/>
                    <w:left w:val="none" w:sz="0" w:space="0" w:color="auto"/>
                    <w:bottom w:val="none" w:sz="0" w:space="0" w:color="auto"/>
                    <w:right w:val="none" w:sz="0" w:space="0" w:color="auto"/>
                  </w:divBdr>
                  <w:divsChild>
                    <w:div w:id="254292914">
                      <w:marLeft w:val="0"/>
                      <w:marRight w:val="0"/>
                      <w:marTop w:val="0"/>
                      <w:marBottom w:val="0"/>
                      <w:divBdr>
                        <w:top w:val="none" w:sz="0" w:space="0" w:color="auto"/>
                        <w:left w:val="none" w:sz="0" w:space="0" w:color="auto"/>
                        <w:bottom w:val="none" w:sz="0" w:space="0" w:color="auto"/>
                        <w:right w:val="none" w:sz="0" w:space="0" w:color="auto"/>
                      </w:divBdr>
                      <w:divsChild>
                        <w:div w:id="1595939739">
                          <w:marLeft w:val="0"/>
                          <w:marRight w:val="375"/>
                          <w:marTop w:val="0"/>
                          <w:marBottom w:val="0"/>
                          <w:divBdr>
                            <w:top w:val="none" w:sz="0" w:space="0" w:color="auto"/>
                            <w:left w:val="none" w:sz="0" w:space="0" w:color="auto"/>
                            <w:bottom w:val="none" w:sz="0" w:space="0" w:color="auto"/>
                            <w:right w:val="none" w:sz="0" w:space="0" w:color="auto"/>
                          </w:divBdr>
                          <w:divsChild>
                            <w:div w:id="1452825235">
                              <w:marLeft w:val="0"/>
                              <w:marRight w:val="0"/>
                              <w:marTop w:val="0"/>
                              <w:marBottom w:val="0"/>
                              <w:divBdr>
                                <w:top w:val="none" w:sz="0" w:space="0" w:color="auto"/>
                                <w:left w:val="none" w:sz="0" w:space="0" w:color="auto"/>
                                <w:bottom w:val="none" w:sz="0" w:space="0" w:color="auto"/>
                                <w:right w:val="none" w:sz="0" w:space="0" w:color="auto"/>
                              </w:divBdr>
                              <w:divsChild>
                                <w:div w:id="165544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4081265">
      <w:bodyDiv w:val="1"/>
      <w:marLeft w:val="0"/>
      <w:marRight w:val="0"/>
      <w:marTop w:val="0"/>
      <w:marBottom w:val="0"/>
      <w:divBdr>
        <w:top w:val="none" w:sz="0" w:space="0" w:color="auto"/>
        <w:left w:val="none" w:sz="0" w:space="0" w:color="auto"/>
        <w:bottom w:val="none" w:sz="0" w:space="0" w:color="auto"/>
        <w:right w:val="none" w:sz="0" w:space="0" w:color="auto"/>
      </w:divBdr>
      <w:divsChild>
        <w:div w:id="1981499902">
          <w:marLeft w:val="0"/>
          <w:marRight w:val="0"/>
          <w:marTop w:val="0"/>
          <w:marBottom w:val="0"/>
          <w:divBdr>
            <w:top w:val="none" w:sz="0" w:space="0" w:color="auto"/>
            <w:left w:val="none" w:sz="0" w:space="0" w:color="auto"/>
            <w:bottom w:val="none" w:sz="0" w:space="0" w:color="auto"/>
            <w:right w:val="none" w:sz="0" w:space="0" w:color="auto"/>
          </w:divBdr>
          <w:divsChild>
            <w:div w:id="1781339908">
              <w:marLeft w:val="0"/>
              <w:marRight w:val="0"/>
              <w:marTop w:val="0"/>
              <w:marBottom w:val="0"/>
              <w:divBdr>
                <w:top w:val="none" w:sz="0" w:space="0" w:color="auto"/>
                <w:left w:val="none" w:sz="0" w:space="0" w:color="auto"/>
                <w:bottom w:val="none" w:sz="0" w:space="0" w:color="auto"/>
                <w:right w:val="none" w:sz="0" w:space="0" w:color="auto"/>
              </w:divBdr>
              <w:divsChild>
                <w:div w:id="58989893">
                  <w:marLeft w:val="0"/>
                  <w:marRight w:val="0"/>
                  <w:marTop w:val="0"/>
                  <w:marBottom w:val="0"/>
                  <w:divBdr>
                    <w:top w:val="none" w:sz="0" w:space="0" w:color="auto"/>
                    <w:left w:val="none" w:sz="0" w:space="0" w:color="auto"/>
                    <w:bottom w:val="none" w:sz="0" w:space="0" w:color="auto"/>
                    <w:right w:val="none" w:sz="0" w:space="0" w:color="auto"/>
                  </w:divBdr>
                  <w:divsChild>
                    <w:div w:id="1634796287">
                      <w:marLeft w:val="0"/>
                      <w:marRight w:val="0"/>
                      <w:marTop w:val="0"/>
                      <w:marBottom w:val="0"/>
                      <w:divBdr>
                        <w:top w:val="none" w:sz="0" w:space="0" w:color="auto"/>
                        <w:left w:val="none" w:sz="0" w:space="0" w:color="auto"/>
                        <w:bottom w:val="none" w:sz="0" w:space="0" w:color="auto"/>
                        <w:right w:val="none" w:sz="0" w:space="0" w:color="auto"/>
                      </w:divBdr>
                      <w:divsChild>
                        <w:div w:id="711611604">
                          <w:marLeft w:val="0"/>
                          <w:marRight w:val="0"/>
                          <w:marTop w:val="0"/>
                          <w:marBottom w:val="0"/>
                          <w:divBdr>
                            <w:top w:val="none" w:sz="0" w:space="0" w:color="auto"/>
                            <w:left w:val="none" w:sz="0" w:space="0" w:color="auto"/>
                            <w:bottom w:val="none" w:sz="0" w:space="0" w:color="auto"/>
                            <w:right w:val="none" w:sz="0" w:space="0" w:color="auto"/>
                          </w:divBdr>
                          <w:divsChild>
                            <w:div w:id="204505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622915">
      <w:bodyDiv w:val="1"/>
      <w:marLeft w:val="0"/>
      <w:marRight w:val="0"/>
      <w:marTop w:val="0"/>
      <w:marBottom w:val="0"/>
      <w:divBdr>
        <w:top w:val="none" w:sz="0" w:space="0" w:color="auto"/>
        <w:left w:val="none" w:sz="0" w:space="0" w:color="auto"/>
        <w:bottom w:val="none" w:sz="0" w:space="0" w:color="auto"/>
        <w:right w:val="none" w:sz="0" w:space="0" w:color="auto"/>
      </w:divBdr>
      <w:divsChild>
        <w:div w:id="1523595040">
          <w:marLeft w:val="0"/>
          <w:marRight w:val="0"/>
          <w:marTop w:val="0"/>
          <w:marBottom w:val="0"/>
          <w:divBdr>
            <w:top w:val="none" w:sz="0" w:space="0" w:color="auto"/>
            <w:left w:val="none" w:sz="0" w:space="0" w:color="auto"/>
            <w:bottom w:val="none" w:sz="0" w:space="0" w:color="auto"/>
            <w:right w:val="none" w:sz="0" w:space="0" w:color="auto"/>
          </w:divBdr>
          <w:divsChild>
            <w:div w:id="1680352418">
              <w:marLeft w:val="-225"/>
              <w:marRight w:val="-225"/>
              <w:marTop w:val="0"/>
              <w:marBottom w:val="0"/>
              <w:divBdr>
                <w:top w:val="none" w:sz="0" w:space="0" w:color="auto"/>
                <w:left w:val="none" w:sz="0" w:space="0" w:color="auto"/>
                <w:bottom w:val="none" w:sz="0" w:space="0" w:color="auto"/>
                <w:right w:val="none" w:sz="0" w:space="0" w:color="auto"/>
              </w:divBdr>
              <w:divsChild>
                <w:div w:id="1214002002">
                  <w:marLeft w:val="0"/>
                  <w:marRight w:val="0"/>
                  <w:marTop w:val="0"/>
                  <w:marBottom w:val="0"/>
                  <w:divBdr>
                    <w:top w:val="none" w:sz="0" w:space="0" w:color="auto"/>
                    <w:left w:val="none" w:sz="0" w:space="0" w:color="auto"/>
                    <w:bottom w:val="none" w:sz="0" w:space="0" w:color="auto"/>
                    <w:right w:val="none" w:sz="0" w:space="0" w:color="auto"/>
                  </w:divBdr>
                  <w:divsChild>
                    <w:div w:id="762647815">
                      <w:marLeft w:val="0"/>
                      <w:marRight w:val="0"/>
                      <w:marTop w:val="0"/>
                      <w:marBottom w:val="0"/>
                      <w:divBdr>
                        <w:top w:val="none" w:sz="0" w:space="0" w:color="auto"/>
                        <w:left w:val="none" w:sz="0" w:space="0" w:color="auto"/>
                        <w:bottom w:val="none" w:sz="0" w:space="0" w:color="auto"/>
                        <w:right w:val="none" w:sz="0" w:space="0" w:color="auto"/>
                      </w:divBdr>
                      <w:divsChild>
                        <w:div w:id="173408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10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an.knight@scancorp.com.a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cus.salouk@scancorp.com.a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us\AppData\Roaming\Microsoft\Templates\Scancorp%20Templates\Scancorp%20Memo%20Template%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Scancorp Memo Template 2013</Template>
  <TotalTime>0</TotalTime>
  <Pages>1</Pages>
  <Words>2543</Words>
  <Characters>14496</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17005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Marcus Salouk</dc:creator>
  <cp:lastModifiedBy>Marcus Salouk</cp:lastModifiedBy>
  <cp:revision>4</cp:revision>
  <cp:lastPrinted>2014-11-17T02:31:00Z</cp:lastPrinted>
  <dcterms:created xsi:type="dcterms:W3CDTF">2015-01-18T06:16:00Z</dcterms:created>
  <dcterms:modified xsi:type="dcterms:W3CDTF">2015-01-18T06:16:00Z</dcterms:modified>
</cp:coreProperties>
</file>